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widowControl w:val="0"/>
        <w:rPr>
          <w:color w:val="000000"/>
        </w:rPr>
      </w:pPr>
      <w:r>
        <w:rPr>
          <w:color w:val="000000"/>
        </w:rPr>
        <w:t>附件2</w:t>
      </w:r>
    </w:p>
    <w:p>
      <w:pPr>
        <w:adjustRightInd w:val="0"/>
        <w:snapToGrid w:val="0"/>
        <w:spacing w:line="640" w:lineRule="exact"/>
        <w:jc w:val="center"/>
        <w:rPr>
          <w:rFonts w:ascii="方正小标宋_GBK" w:eastAsia="方正小标宋_GBK" w:hint="eastAsia"/>
          <w:color w:val="000000"/>
          <w:sz w:val="44"/>
          <w:szCs w:val="44"/>
        </w:rPr>
      </w:pPr>
    </w:p>
    <w:p>
      <w:pPr>
        <w:adjustRightInd w:val="0"/>
        <w:snapToGrid w:val="0"/>
        <w:spacing w:line="640" w:lineRule="exact"/>
        <w:jc w:val="center"/>
        <w:rPr>
          <w:rFonts w:ascii="方正小标宋_GBK" w:eastAsia="方正小标宋_GBK" w:cs="宋体" w:hint="eastAsia"/>
          <w:color w:val="000000"/>
          <w:sz w:val="44"/>
          <w:szCs w:val="44"/>
          <w:lang w:bidi="ar-SA"/>
        </w:rPr>
      </w:pPr>
      <w:r>
        <w:rPr>
          <w:rFonts w:ascii="方正小标宋_GBK" w:eastAsia="方正小标宋_GBK" w:hint="eastAsia"/>
          <w:color w:val="000000"/>
          <w:sz w:val="44"/>
          <w:szCs w:val="44"/>
        </w:rPr>
        <w:t>连云港市人民政府</w:t>
      </w:r>
      <w:r>
        <w:rPr>
          <w:rFonts w:ascii="方正小标宋_GBK" w:eastAsia="方正小标宋_GBK" w:cs="宋体" w:hint="eastAsia"/>
          <w:color w:val="000000"/>
          <w:sz w:val="44"/>
          <w:szCs w:val="44"/>
          <w:lang w:bidi="ar-SA"/>
        </w:rPr>
        <w:t>重大行政决策程序规定</w:t>
      </w:r>
      <w:r>
        <w:rPr>
          <w:rFonts w:ascii="方正小标宋_GBK" w:eastAsia="方正小标宋_GBK" w:cs="宋体" w:hint="eastAsia"/>
          <w:color w:val="000000"/>
          <w:sz w:val="44"/>
          <w:szCs w:val="44"/>
          <w:lang w:bidi="ar-SA"/>
        </w:rPr>
        <w:t>（草案）</w:t>
      </w:r>
    </w:p>
    <w:p>
      <w:pPr>
        <w:adjustRightInd w:val="0"/>
        <w:snapToGrid w:val="0"/>
        <w:spacing w:line="640" w:lineRule="exact"/>
        <w:jc w:val="center"/>
        <w:rPr>
          <w:rFonts w:ascii="楷体_GB2312" w:eastAsia="楷体_GB2312" w:hint="eastAsia"/>
          <w:color w:val="000000"/>
          <w:sz w:val="32"/>
          <w:szCs w:val="32"/>
        </w:rPr>
      </w:pPr>
      <w:r>
        <w:rPr>
          <w:rFonts w:ascii="楷体_GB2312" w:eastAsia="楷体_GB2312" w:hint="eastAsia"/>
          <w:color w:val="000000"/>
          <w:sz w:val="32"/>
          <w:szCs w:val="32"/>
        </w:rPr>
        <w:t>（征求意见稿）</w:t>
      </w:r>
    </w:p>
    <w:p>
      <w:pPr>
        <w:adjustRightInd w:val="0"/>
        <w:snapToGrid w:val="0"/>
        <w:spacing w:line="560" w:lineRule="exact"/>
        <w:jc w:val="center"/>
        <w:rPr>
          <w:rFonts w:ascii="宋体" w:hint="eastAsia"/>
          <w:color w:val="000000"/>
          <w:sz w:val="36"/>
          <w:szCs w:val="36"/>
        </w:rPr>
      </w:pPr>
    </w:p>
    <w:p>
      <w:pPr>
        <w:widowControl w:val="0"/>
        <w:adjustRightInd w:val="0"/>
        <w:snapToGrid w:val="0"/>
        <w:spacing w:line="560" w:lineRule="exact"/>
        <w:jc w:val="center"/>
        <w:rPr>
          <w:rFonts w:ascii="Times New Roman" w:eastAsia="黑体" w:cs="方正正黑_GBK" w:hAnsi="Times New Roman" w:hint="eastAsia"/>
          <w:color w:val="000000"/>
          <w:kern w:val="2"/>
          <w:sz w:val="32"/>
          <w:szCs w:val="32"/>
          <w:lang w:bidi="ar-SA"/>
        </w:rPr>
      </w:pPr>
      <w:r>
        <w:rPr>
          <w:rFonts w:ascii="Times New Roman" w:eastAsia="黑体" w:cs="黑体" w:hAnsi="Times New Roman" w:hint="eastAsia"/>
          <w:color w:val="000000"/>
          <w:kern w:val="2"/>
          <w:sz w:val="32"/>
          <w:szCs w:val="32"/>
          <w:lang w:bidi="ar-SA"/>
        </w:rPr>
        <w:t>第一章</w:t>
      </w:r>
      <w:r>
        <w:rPr>
          <w:rFonts w:ascii="Times New Roman" w:eastAsia="黑体" w:cs="黑体" w:hAnsi="Times New Roman"/>
          <w:color w:val="000000"/>
          <w:kern w:val="2"/>
          <w:sz w:val="32"/>
          <w:szCs w:val="32"/>
          <w:lang w:bidi="ar-SA"/>
        </w:rPr>
        <w:t xml:space="preserve">  </w:t>
      </w:r>
      <w:r>
        <w:rPr>
          <w:rFonts w:ascii="Times New Roman" w:eastAsia="黑体" w:cs="黑体" w:hAnsi="Times New Roman" w:hint="eastAsia"/>
          <w:color w:val="000000"/>
          <w:kern w:val="2"/>
          <w:sz w:val="32"/>
          <w:szCs w:val="32"/>
          <w:lang w:bidi="ar-SA"/>
        </w:rPr>
        <w:t>总</w:t>
      </w:r>
      <w:r>
        <w:rPr>
          <w:rFonts w:ascii="Times New Roman" w:eastAsia="黑体" w:cs="黑体" w:hAnsi="Times New Roman"/>
          <w:color w:val="000000"/>
          <w:kern w:val="2"/>
          <w:sz w:val="32"/>
          <w:szCs w:val="32"/>
          <w:lang w:bidi="ar-SA"/>
        </w:rPr>
        <w:t xml:space="preserve">  </w:t>
      </w:r>
      <w:r>
        <w:rPr>
          <w:rFonts w:ascii="Times New Roman" w:eastAsia="黑体" w:cs="黑体" w:hAnsi="Times New Roman" w:hint="eastAsia"/>
          <w:color w:val="000000"/>
          <w:kern w:val="2"/>
          <w:sz w:val="32"/>
          <w:szCs w:val="32"/>
          <w:lang w:bidi="ar-SA"/>
        </w:rPr>
        <w:t>则</w:t>
      </w:r>
    </w:p>
    <w:p>
      <w:pPr>
        <w:widowControl w:val="0"/>
        <w:adjustRightInd w:val="0"/>
        <w:snapToGrid w:val="0"/>
        <w:spacing w:line="560" w:lineRule="exact"/>
        <w:ind w:firstLineChars="200" w:firstLine="640"/>
        <w:jc w:val="both"/>
        <w:rPr>
          <w:rFonts w:ascii="Times New Roman" w:eastAsia="黑体" w:cs="黑体" w:hAnsi="Times New Roman"/>
          <w:color w:val="000000"/>
          <w:kern w:val="2"/>
          <w:sz w:val="32"/>
          <w:szCs w:val="32"/>
          <w:lang w:bidi="ar-SA"/>
        </w:rPr>
      </w:pPr>
    </w:p>
    <w:p>
      <w:pPr>
        <w:widowControl w:val="0"/>
        <w:adjustRightInd w:val="0"/>
        <w:snapToGrid w:val="0"/>
        <w:spacing w:line="560" w:lineRule="exact"/>
        <w:ind w:firstLineChars="200" w:firstLine="640"/>
        <w:jc w:val="both"/>
        <w:rPr>
          <w:rFonts w:ascii="仿宋_GB2312" w:eastAsia="仿宋_GB2312" w:cs="黑体" w:hint="eastAsia"/>
          <w:color w:val="000000"/>
          <w:kern w:val="2"/>
          <w:sz w:val="32"/>
          <w:szCs w:val="32"/>
          <w:lang w:bidi="ar-SA"/>
        </w:rPr>
      </w:pPr>
      <w:r>
        <w:rPr>
          <w:rFonts w:ascii="Times New Roman" w:eastAsia="黑体" w:cs="黑体" w:hAnsi="Times New Roman" w:hint="eastAsia"/>
          <w:color w:val="000000"/>
          <w:kern w:val="2"/>
          <w:sz w:val="32"/>
          <w:szCs w:val="32"/>
          <w:lang w:bidi="ar-SA"/>
        </w:rPr>
        <w:t>第一条</w:t>
      </w:r>
      <w:r>
        <w:rPr>
          <w:rFonts w:ascii="Times New Roman" w:eastAsia="黑体" w:cs="黑体" w:hAnsi="Times New Roman"/>
          <w:color w:val="000000"/>
          <w:kern w:val="2"/>
          <w:sz w:val="32"/>
          <w:szCs w:val="32"/>
          <w:lang w:bidi="ar-SA"/>
        </w:rPr>
        <w:t xml:space="preserve"> </w:t>
      </w:r>
      <w:r>
        <w:rPr>
          <w:rFonts w:ascii="仿宋_GB2312" w:eastAsia="仿宋_GB2312" w:cs="黑体" w:hint="eastAsia"/>
          <w:color w:val="000000"/>
          <w:kern w:val="2"/>
          <w:sz w:val="32"/>
          <w:szCs w:val="32"/>
          <w:lang w:bidi="ar-SA"/>
        </w:rPr>
        <w:t xml:space="preserve"> 为了规范重大行政决策程序，促进重大行政决策科学化、民主化、法治化，明确决策责任，提高决策质量和效率，扎实推进依法行政和法治政府建设，根据《中华人民共和国地方各级人民代表大会和地方各级人民政府组织法》《重大行政决策程序暂行条例》《江苏省行政程序条例》《江苏省重大行政决策程序实施办法》等法律法规规章规定，结合实际，制定本规定。</w:t>
      </w:r>
    </w:p>
    <w:p>
      <w:pPr>
        <w:widowControl w:val="0"/>
        <w:adjustRightInd w:val="0"/>
        <w:snapToGrid w:val="0"/>
        <w:spacing w:line="560" w:lineRule="exact"/>
        <w:ind w:firstLineChars="200" w:firstLine="640"/>
        <w:jc w:val="both"/>
        <w:rPr>
          <w:rFonts w:ascii="Times New Roman" w:eastAsia="黑体" w:cs="黑体" w:hAnsi="Times New Roman"/>
          <w:color w:val="000000"/>
          <w:kern w:val="2"/>
          <w:sz w:val="32"/>
          <w:szCs w:val="32"/>
          <w:lang w:bidi="ar-SA"/>
        </w:rPr>
      </w:pPr>
      <w:r>
        <w:rPr>
          <w:rFonts w:ascii="Times New Roman" w:eastAsia="黑体" w:cs="黑体" w:hAnsi="Times New Roman" w:hint="eastAsia"/>
          <w:color w:val="000000"/>
          <w:kern w:val="2"/>
          <w:sz w:val="32"/>
          <w:szCs w:val="32"/>
          <w:lang w:bidi="ar-SA"/>
        </w:rPr>
        <w:t>第二条</w:t>
      </w:r>
      <w:r>
        <w:rPr>
          <w:rFonts w:ascii="Times New Roman" w:eastAsia="黑体" w:cs="黑体" w:hAnsi="Times New Roman"/>
          <w:color w:val="000000"/>
          <w:kern w:val="2"/>
          <w:sz w:val="32"/>
          <w:szCs w:val="32"/>
          <w:lang w:bidi="ar-SA"/>
        </w:rPr>
        <w:t xml:space="preserve">  </w:t>
      </w:r>
      <w:r>
        <w:rPr>
          <w:rFonts w:ascii="仿宋_GB2312" w:eastAsia="仿宋_GB2312" w:cs="黑体" w:hint="eastAsia"/>
          <w:color w:val="000000"/>
          <w:kern w:val="2"/>
          <w:sz w:val="32"/>
          <w:szCs w:val="32"/>
          <w:lang w:bidi="ar-SA"/>
        </w:rPr>
        <w:t>市人民政府重大行政决策的作出、调整、执行、监督适用本规定。</w:t>
      </w:r>
    </w:p>
    <w:p>
      <w:pPr>
        <w:widowControl w:val="0"/>
        <w:adjustRightInd w:val="0"/>
        <w:snapToGrid w:val="0"/>
        <w:spacing w:line="560" w:lineRule="exact"/>
        <w:ind w:firstLineChars="200" w:firstLine="640"/>
        <w:jc w:val="both"/>
        <w:rPr>
          <w:rFonts w:ascii="仿宋_GB2312" w:eastAsia="仿宋_GB2312" w:hint="eastAsia"/>
          <w:color w:val="000000"/>
          <w:kern w:val="2"/>
          <w:sz w:val="32"/>
          <w:szCs w:val="32"/>
        </w:rPr>
      </w:pPr>
      <w:r>
        <w:rPr>
          <w:rFonts w:ascii="Times New Roman" w:eastAsia="黑体" w:cs="黑体" w:hAnsi="Times New Roman" w:hint="eastAsia"/>
          <w:color w:val="000000"/>
          <w:kern w:val="2"/>
          <w:sz w:val="32"/>
          <w:szCs w:val="32"/>
          <w:lang w:bidi="ar-SA"/>
        </w:rPr>
        <w:t>第三条</w:t>
      </w:r>
      <w:r>
        <w:rPr>
          <w:rFonts w:ascii="Times New Roman" w:eastAsia="黑体" w:cs="黑体" w:hAnsi="Times New Roman"/>
          <w:color w:val="000000"/>
          <w:kern w:val="2"/>
          <w:sz w:val="32"/>
          <w:szCs w:val="32"/>
          <w:lang w:bidi="ar-SA"/>
        </w:rPr>
        <w:t xml:space="preserve">  </w:t>
      </w:r>
      <w:r>
        <w:rPr>
          <w:rFonts w:ascii="仿宋_GB2312" w:eastAsia="仿宋_GB2312" w:cs="黑体" w:hint="eastAsia"/>
          <w:color w:val="000000"/>
          <w:kern w:val="2"/>
          <w:sz w:val="32"/>
          <w:szCs w:val="32"/>
          <w:lang w:bidi="ar-SA"/>
        </w:rPr>
        <w:t>本规定所称重大行政决策事项</w:t>
      </w:r>
      <w:r>
        <w:rPr>
          <w:rFonts w:ascii="仿宋_GB2312" w:eastAsia="仿宋_GB2312" w:hint="eastAsia"/>
          <w:color w:val="000000"/>
          <w:kern w:val="2"/>
          <w:sz w:val="32"/>
          <w:szCs w:val="32"/>
        </w:rPr>
        <w:t>包括：</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（一）制定有关公共服务、市场监管、社会管理、环境保护等方面的重大公共政策和措施；</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（二）制定经济和社会发展等方面的重要规划；</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（三）制定开发利用、保护重要自然资源和文化资源的重大公共政策和措施；</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（四）决定在本行政区域实施的重大公共建设项目；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（五）决定对经济社会发展有重大影响、涉及重大公共利益或者社会公众切身利益的其他重大事项。</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法律、行政法规对本条第一款规定事项的决策程序另有规定的，依照其规定。财政政策等涉及宏观调控决策，拟定地方性法规、制定政府规章和行政规范性文件、突发事件应急处置决策，市人民政府内部人事、财务等事项，不适用本规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第四条</w:t>
      </w:r>
      <w:r>
        <w:rPr>
          <w:rFonts w:ascii="Times New Roman" w:eastAsia="仿宋_GB2312" w:hAnsi="Times New Roman"/>
          <w:color w:val="000000"/>
          <w:kern w:val="2"/>
          <w:sz w:val="32"/>
          <w:szCs w:val="32"/>
        </w:rPr>
        <w:t xml:space="preserve">  </w:t>
      </w:r>
      <w:r>
        <w:rPr>
          <w:rFonts w:ascii="仿宋_GB2312" w:eastAsia="仿宋_GB2312" w:cs="仿宋_GB2312" w:hint="eastAsia"/>
          <w:color w:val="000000"/>
          <w:sz w:val="32"/>
          <w:szCs w:val="32"/>
          <w:shd w:val="clear" w:color="auto" w:fill="FFFFFF"/>
          <w:lang w:bidi="ar-SA"/>
        </w:rPr>
        <w:t>市人民政府</w:t>
      </w:r>
      <w:r>
        <w:rPr>
          <w:rFonts w:ascii="Times New Roman" w:eastAsia="仿宋_GB2312" w:hAnsi="Times New Roman" w:hint="eastAsia"/>
          <w:color w:val="000000"/>
          <w:kern w:val="2"/>
          <w:sz w:val="32"/>
          <w:szCs w:val="32"/>
        </w:rPr>
        <w:t>可以根据本规定第三条第一款的规定，结合职责权限和本地实际，确定重大行政决策事项目录、标准，经同级党委同意后向社会公布，并根据实际情况作出调整。</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第五条</w:t>
      </w:r>
      <w:r>
        <w:rPr>
          <w:rFonts w:ascii="Times New Roman" w:eastAsia="仿宋_GB2312" w:hAnsi="Times New Roman"/>
          <w:color w:val="000000"/>
          <w:kern w:val="2"/>
          <w:sz w:val="32"/>
          <w:szCs w:val="32"/>
        </w:rPr>
        <w:t xml:space="preserve">  </w:t>
      </w:r>
      <w:r>
        <w:rPr>
          <w:rFonts w:ascii="仿宋_GB2312" w:eastAsia="仿宋_GB2312" w:cs="仿宋_GB2312" w:hint="eastAsia"/>
          <w:color w:val="000000"/>
          <w:sz w:val="32"/>
          <w:szCs w:val="32"/>
          <w:shd w:val="clear" w:color="auto" w:fill="FFFFFF"/>
          <w:lang w:bidi="ar-SA"/>
        </w:rPr>
        <w:t>市人民政府</w:t>
      </w:r>
      <w:r>
        <w:rPr>
          <w:rFonts w:ascii="Times New Roman" w:eastAsia="仿宋_GB2312" w:hAnsi="Times New Roman" w:hint="eastAsia"/>
          <w:color w:val="000000"/>
          <w:kern w:val="2"/>
          <w:sz w:val="32"/>
          <w:szCs w:val="32"/>
        </w:rPr>
        <w:t>重大行政决策坚持和加强党的全面领导，</w:t>
      </w:r>
      <w:r>
        <w:rPr>
          <w:rFonts w:ascii="仿宋_GB2312" w:eastAsia="仿宋_GB2312" w:cs="黑体" w:hint="eastAsia"/>
          <w:color w:val="000000"/>
          <w:kern w:val="2"/>
          <w:sz w:val="32"/>
          <w:szCs w:val="32"/>
          <w:lang w:bidi="ar-SA"/>
        </w:rPr>
        <w:t>全面贯彻党的路线方针政策和决策部署，发挥党的领导核心作用，</w:t>
      </w:r>
      <w:r>
        <w:rPr>
          <w:rFonts w:ascii="Times New Roman" w:eastAsia="仿宋_GB2312" w:hAnsi="Times New Roman" w:hint="eastAsia"/>
          <w:color w:val="000000"/>
          <w:kern w:val="2"/>
          <w:sz w:val="32"/>
          <w:szCs w:val="32"/>
        </w:rPr>
        <w:t>把党的领导贯彻到重大行政决策全过程。</w:t>
      </w:r>
    </w:p>
    <w:p>
      <w:pPr>
        <w:widowControl w:val="0"/>
        <w:adjustRightInd w:val="0"/>
        <w:snapToGrid w:val="0"/>
        <w:spacing w:line="560" w:lineRule="exact"/>
        <w:ind w:firstLineChars="200" w:firstLine="640"/>
        <w:jc w:val="both"/>
        <w:rPr>
          <w:rFonts w:ascii="仿宋_GB2312" w:eastAsia="仿宋_GB2312" w:cs="黑体" w:hint="eastAsia"/>
          <w:color w:val="000000"/>
          <w:kern w:val="2"/>
          <w:sz w:val="32"/>
          <w:szCs w:val="32"/>
          <w:lang w:bidi="ar-SA"/>
        </w:rPr>
      </w:pPr>
      <w:r>
        <w:rPr>
          <w:rFonts w:ascii="Times New Roman" w:eastAsia="黑体" w:cs="黑体" w:hAnsi="Times New Roman" w:hint="eastAsia"/>
          <w:color w:val="000000"/>
          <w:kern w:val="2"/>
          <w:sz w:val="32"/>
          <w:szCs w:val="32"/>
          <w:lang w:bidi="ar-SA"/>
        </w:rPr>
        <w:t>第六条</w:t>
      </w:r>
      <w:r>
        <w:rPr>
          <w:rFonts w:ascii="Times New Roman" w:eastAsia="黑体" w:cs="黑体" w:hAnsi="Times New Roman"/>
          <w:color w:val="000000"/>
          <w:kern w:val="2"/>
          <w:sz w:val="32"/>
          <w:szCs w:val="32"/>
          <w:lang w:bidi="ar-SA"/>
        </w:rPr>
        <w:t xml:space="preserve">  </w:t>
      </w:r>
      <w:r>
        <w:rPr>
          <w:rFonts w:ascii="仿宋_GB2312" w:eastAsia="仿宋_GB2312" w:cs="仿宋_GB2312" w:hint="eastAsia"/>
          <w:color w:val="000000"/>
          <w:sz w:val="32"/>
          <w:szCs w:val="32"/>
          <w:shd w:val="clear" w:color="auto" w:fill="FFFFFF"/>
          <w:lang w:bidi="ar-SA"/>
        </w:rPr>
        <w:t>市人民政府</w:t>
      </w:r>
      <w:r>
        <w:rPr>
          <w:rFonts w:ascii="Times New Roman" w:eastAsia="仿宋_GB2312" w:hAnsi="Times New Roman" w:hint="eastAsia"/>
          <w:color w:val="000000"/>
          <w:kern w:val="2"/>
          <w:sz w:val="32"/>
          <w:szCs w:val="32"/>
        </w:rPr>
        <w:t>重大行政决策坚持完整、准确、全面贯彻新发展理念，坚持和发展全过程人民民主，坚持科学、民主、依法决策，</w:t>
      </w:r>
      <w:r>
        <w:rPr>
          <w:rFonts w:ascii="仿宋_GB2312" w:eastAsia="仿宋_GB2312" w:cs="黑体" w:hint="eastAsia"/>
          <w:color w:val="000000"/>
          <w:kern w:val="2"/>
          <w:sz w:val="32"/>
          <w:szCs w:val="32"/>
          <w:lang w:bidi="ar-SA"/>
        </w:rPr>
        <w:t>坚持决策质量和效率并重，将政府行为全面纳入法治轨道，适应全面推进中国式现代化连云港新实践的要求。</w:t>
      </w:r>
    </w:p>
    <w:p>
      <w:pPr>
        <w:widowControl w:val="0"/>
        <w:adjustRightInd w:val="0"/>
        <w:snapToGrid w:val="0"/>
        <w:spacing w:line="560" w:lineRule="exact"/>
        <w:ind w:firstLineChars="200" w:firstLine="640"/>
        <w:jc w:val="both"/>
        <w:rPr>
          <w:rFonts w:ascii="Times New Roman" w:eastAsia="黑体" w:cs="黑体" w:hAnsi="Times New Roman" w:hint="eastAsia"/>
          <w:color w:val="000000"/>
          <w:kern w:val="2"/>
          <w:sz w:val="32"/>
          <w:szCs w:val="32"/>
          <w:lang w:bidi="ar-SA"/>
        </w:rPr>
      </w:pPr>
      <w:r>
        <w:rPr>
          <w:rFonts w:ascii="Times New Roman" w:eastAsia="黑体" w:cs="黑体" w:hAnsi="Times New Roman" w:hint="eastAsia"/>
          <w:color w:val="000000"/>
          <w:kern w:val="2"/>
          <w:sz w:val="32"/>
          <w:szCs w:val="32"/>
          <w:lang w:bidi="ar-SA"/>
        </w:rPr>
        <w:t>第七条</w:t>
      </w:r>
      <w:r>
        <w:rPr>
          <w:rFonts w:ascii="Times New Roman" w:eastAsia="黑体" w:cs="黑体" w:hAnsi="Times New Roman"/>
          <w:color w:val="000000"/>
          <w:kern w:val="2"/>
          <w:sz w:val="32"/>
          <w:szCs w:val="32"/>
          <w:lang w:bidi="ar-SA"/>
        </w:rPr>
        <w:t xml:space="preserve">  </w:t>
      </w:r>
      <w:r>
        <w:rPr>
          <w:rFonts w:ascii="仿宋_GB2312" w:eastAsia="仿宋_GB2312" w:cs="仿宋_GB2312" w:hint="eastAsia"/>
          <w:color w:val="000000"/>
          <w:sz w:val="32"/>
          <w:szCs w:val="32"/>
          <w:shd w:val="clear" w:color="auto" w:fill="FFFFFF"/>
          <w:lang w:bidi="ar-SA"/>
        </w:rPr>
        <w:t>市人民政府</w:t>
      </w:r>
      <w:r>
        <w:rPr>
          <w:rFonts w:ascii="Times New Roman" w:eastAsia="仿宋_GB2312" w:hAnsi="Times New Roman" w:hint="eastAsia"/>
          <w:color w:val="000000"/>
          <w:kern w:val="2"/>
          <w:sz w:val="32"/>
          <w:szCs w:val="32"/>
        </w:rPr>
        <w:t>重大行政决策实行集体决策制，分管副市长和秘书长协助市长决策。</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市人民政府办公室负责</w:t>
      </w:r>
      <w:r>
        <w:rPr>
          <w:rFonts w:ascii="仿宋_GB2312" w:eastAsia="仿宋_GB2312" w:cs="仿宋_GB2312" w:hint="eastAsia"/>
          <w:color w:val="000000"/>
          <w:sz w:val="32"/>
          <w:szCs w:val="32"/>
          <w:shd w:val="clear" w:color="auto" w:fill="FFFFFF"/>
          <w:lang w:bidi="ar-SA"/>
        </w:rPr>
        <w:t>市人民政府</w:t>
      </w:r>
      <w:r>
        <w:rPr>
          <w:rFonts w:ascii="Times New Roman" w:eastAsia="仿宋_GB2312" w:hAnsi="Times New Roman" w:hint="eastAsia"/>
          <w:color w:val="000000"/>
          <w:kern w:val="2"/>
          <w:sz w:val="32"/>
          <w:szCs w:val="32"/>
        </w:rPr>
        <w:t>重大行政决策的组织协调、指导监督、动态管理等工作。</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第八条</w:t>
      </w:r>
      <w:r>
        <w:rPr>
          <w:rFonts w:ascii="Times New Roman" w:eastAsia="仿宋_GB2312" w:hAnsi="Times New Roman"/>
          <w:color w:val="000000"/>
          <w:kern w:val="2"/>
          <w:sz w:val="32"/>
          <w:szCs w:val="32"/>
        </w:rPr>
        <w:t xml:space="preserve">  </w:t>
      </w:r>
      <w:r>
        <w:rPr>
          <w:rFonts w:ascii="仿宋_GB2312" w:eastAsia="仿宋_GB2312" w:cs="仿宋_GB2312" w:hint="eastAsia"/>
          <w:color w:val="000000"/>
          <w:sz w:val="32"/>
          <w:szCs w:val="32"/>
          <w:shd w:val="clear" w:color="auto" w:fill="FFFFFF"/>
          <w:lang w:bidi="ar-SA"/>
        </w:rPr>
        <w:t>市人民政府</w:t>
      </w:r>
      <w:r>
        <w:rPr>
          <w:rFonts w:ascii="Times New Roman" w:eastAsia="仿宋_GB2312" w:hAnsi="Times New Roman" w:hint="eastAsia"/>
          <w:color w:val="000000"/>
          <w:kern w:val="2"/>
          <w:sz w:val="32"/>
          <w:szCs w:val="32"/>
        </w:rPr>
        <w:t>重大行政决策依法接受市人民代表大会及其常务委员会的监督，根据法律、法规规定属于市人民代表大会及其常务委员会讨论决定的重大事项范围或者应当在出台前向市人民代表大会常务委员会报告的，按照有关规定办理。</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第九条</w:t>
      </w:r>
      <w:r>
        <w:rPr>
          <w:rFonts w:ascii="Times New Roman" w:eastAsia="黑体" w:cs="黑体" w:hAnsi="Times New Roman"/>
          <w:color w:val="000000"/>
          <w:kern w:val="2"/>
          <w:sz w:val="32"/>
          <w:szCs w:val="32"/>
          <w:lang w:bidi="ar-SA"/>
        </w:rPr>
        <w:t xml:space="preserve">  </w:t>
      </w:r>
      <w:r>
        <w:rPr>
          <w:rFonts w:ascii="Times New Roman" w:eastAsia="仿宋_GB2312" w:hAnsi="Times New Roman" w:hint="eastAsia"/>
          <w:color w:val="000000"/>
          <w:kern w:val="2"/>
          <w:sz w:val="32"/>
          <w:szCs w:val="32"/>
        </w:rPr>
        <w:t>重大行政决策情况作为考核评价承办单位、执行单位及其领导人员的重要内容，作为法治政府建设与责任落实督察的内容和决策承办单位年度依法行政考核的内容。</w:t>
      </w:r>
    </w:p>
    <w:p>
      <w:pPr>
        <w:widowControl w:val="0"/>
        <w:adjustRightInd w:val="0"/>
        <w:snapToGrid w:val="0"/>
        <w:spacing w:line="560" w:lineRule="exact"/>
        <w:jc w:val="center"/>
        <w:rPr>
          <w:rFonts w:ascii="Times New Roman" w:eastAsia="黑体" w:cs="黑体" w:hAnsi="Times New Roman"/>
          <w:color w:val="000000"/>
          <w:kern w:val="2"/>
          <w:sz w:val="32"/>
          <w:szCs w:val="32"/>
          <w:lang w:bidi="ar-SA"/>
        </w:rPr>
      </w:pPr>
    </w:p>
    <w:p>
      <w:pPr>
        <w:widowControl w:val="0"/>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第二章</w:t>
      </w:r>
      <w:r>
        <w:rPr>
          <w:rFonts w:ascii="黑体" w:eastAsia="黑体" w:hint="eastAsia"/>
          <w:color w:val="000000"/>
          <w:kern w:val="2"/>
          <w:sz w:val="32"/>
          <w:szCs w:val="32"/>
        </w:rPr>
        <w:t xml:space="preserve">  </w:t>
      </w:r>
      <w:r>
        <w:rPr>
          <w:rFonts w:ascii="黑体" w:eastAsia="黑体" w:cs="黑体" w:hint="eastAsia"/>
          <w:color w:val="000000"/>
          <w:kern w:val="2"/>
          <w:sz w:val="32"/>
          <w:szCs w:val="32"/>
          <w:lang w:bidi="ar-SA"/>
        </w:rPr>
        <w:t>决策启动</w:t>
      </w:r>
    </w:p>
    <w:p>
      <w:pPr>
        <w:widowControl w:val="0"/>
        <w:adjustRightInd w:val="0"/>
        <w:snapToGrid w:val="0"/>
        <w:spacing w:line="560" w:lineRule="exact"/>
        <w:jc w:val="center"/>
        <w:rPr>
          <w:rFonts w:ascii="Times New Roman" w:eastAsia="方正楷体_GBK" w:hAnsi="Times New Roman"/>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第十条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对各方面提出的重大行政决策建议，按照下列规定进行研究论证后报请市人民政府，由市长决定是否启动决策程序：</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w:t>
      </w:r>
      <w:r>
        <w:rPr>
          <w:rFonts w:ascii="仿宋_GB2312" w:eastAsia="仿宋_GB2312" w:cs="仿宋_GB2312" w:hint="eastAsia"/>
          <w:color w:val="000000"/>
          <w:sz w:val="32"/>
          <w:szCs w:val="32"/>
          <w:shd w:val="clear" w:color="auto" w:fill="FFFFFF"/>
          <w:lang w:bidi="ar-SA"/>
        </w:rPr>
        <w:t>市长、副市长依照各自职责提出决策事项建议的，交有关部门、机构研究论证；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市人民政府工作部门、市有关单位或者所属县（区）政府、开发园区管理机构依照其职责范围向市人民政府提出决策事项建议前，应当论证所要解决的主要问题、建议理由、法律法规政策依据、解决问题的初步方案及其必要性、可行性等；</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（三）市人大代表、市政协委员等通过建议、提案等方式提出决策事项建议，以及公民、法人或者其他组织提出书面决策事项建议的，经市长或者副市长批示后交有关单位研究论证。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第十一条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决定启动决策程序的，由市人民政府办公室根据部门职责权限确定决策承办单位，决策承办单位负责市人民政府重大行政决策草案的拟订等工作。决策事项需要两个以上单位承办的，应当明确牵头的决策承办单位。</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决策承办单位确定后，相关职能发生转变的，由承继该职能的单位作为决策承办单位。</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第十二条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决策承办单位应当按照下列要求，拟订决策事项草案：</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（一）广泛深入开展调查研究，全面准确掌握有关信息，充分协商协调；</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（二）全面梳理与决策事项有关的法律、法规、规章和政策，使决策草案合法合规、与有关政策相衔接；</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（三）根据需要对决策事项涉及的人财物投入、资源消耗、环境影响等成本和经济、社会、环境效益进行分析预测。</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有关方面对决策事项存在较大分歧的，决策承办单位可以提出两个以上方案。</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决策承办单位可以自行起草决策草案，也可以委托有关专家或者专业机构起草。</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第十三条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事项涉及市人民政府工作部门、县（区）人民政府等单位的职责，或者与其关系紧密的，决策承办单位应当与其充分协商；不能取得一致意见的，应当向市人民政府说明争议的主要问题，有关单位的意见，决策承办单位的意见、理由和依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第十四条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决策事项草案应当包含决策目标、工作任务、措施方法、时间步骤、制定依据等内容，并附决策草案拟订说明、与决策相关的法律、法规、规章和政策。</w:t>
      </w:r>
    </w:p>
    <w:p>
      <w:pPr>
        <w:widowControl w:val="0"/>
        <w:adjustRightInd w:val="0"/>
        <w:snapToGrid w:val="0"/>
        <w:spacing w:line="560" w:lineRule="exact"/>
        <w:jc w:val="center"/>
        <w:rPr>
          <w:rFonts w:ascii="黑体" w:eastAsia="黑体" w:cs="黑体" w:hint="eastAsia"/>
          <w:color w:val="000000"/>
          <w:kern w:val="2"/>
          <w:sz w:val="32"/>
          <w:szCs w:val="32"/>
          <w:lang w:bidi="ar-SA"/>
        </w:rPr>
      </w:pPr>
    </w:p>
    <w:p>
      <w:pPr>
        <w:widowControl w:val="0"/>
        <w:numPr>
          <w:ilvl w:val="0"/>
          <w:numId w:val="1"/>
        </w:numPr>
        <w:tabs>
          <w:tab w:val="left" w:pos="1283"/>
        </w:tabs>
        <w:adjustRightInd w:val="0"/>
        <w:snapToGrid w:val="0"/>
        <w:spacing w:line="560" w:lineRule="exact"/>
        <w:jc w:val="center"/>
        <w:rPr>
          <w:rFonts w:ascii="黑体" w:eastAsia="黑体" w:hint="eastAsia"/>
          <w:color w:val="000000"/>
          <w:kern w:val="2"/>
          <w:sz w:val="32"/>
          <w:szCs w:val="32"/>
        </w:rPr>
      </w:pPr>
      <w:r>
        <w:rPr>
          <w:rFonts w:ascii="黑体" w:eastAsia="黑体" w:hint="eastAsia"/>
          <w:color w:val="000000"/>
          <w:kern w:val="2"/>
          <w:sz w:val="32"/>
          <w:szCs w:val="32"/>
        </w:rPr>
        <w:t>目录管理</w:t>
      </w:r>
    </w:p>
    <w:p>
      <w:pPr>
        <w:widowControl w:val="0"/>
        <w:adjustRightInd w:val="0"/>
        <w:snapToGrid w:val="0"/>
        <w:spacing w:line="560" w:lineRule="exact"/>
        <w:jc w:val="center"/>
        <w:rPr>
          <w:rFonts w:ascii="黑体" w:eastAsia="黑体" w:hint="eastAsia"/>
          <w:color w:val="000000"/>
          <w:kern w:val="2"/>
          <w:sz w:val="32"/>
          <w:szCs w:val="32"/>
        </w:rPr>
      </w:pPr>
    </w:p>
    <w:p>
      <w:pPr>
        <w:widowControl w:val="0"/>
        <w:adjustRightInd w:val="0"/>
        <w:snapToGrid w:val="0"/>
        <w:spacing w:line="560" w:lineRule="exact"/>
        <w:ind w:firstLineChars="200" w:firstLine="640"/>
        <w:jc w:val="both"/>
        <w:rPr>
          <w:rFonts w:ascii="仿宋_GB2312" w:eastAsia="仿宋_GB2312" w:cs="黑体" w:hint="eastAsia"/>
          <w:color w:val="000000"/>
          <w:kern w:val="2"/>
          <w:sz w:val="32"/>
          <w:szCs w:val="32"/>
          <w:lang w:bidi="ar-SA"/>
        </w:rPr>
      </w:pPr>
      <w:r>
        <w:rPr>
          <w:rFonts w:ascii="Times New Roman" w:eastAsia="黑体" w:cs="黑体" w:hAnsi="Times New Roman" w:hint="eastAsia"/>
          <w:color w:val="000000"/>
          <w:kern w:val="2"/>
          <w:sz w:val="32"/>
          <w:szCs w:val="32"/>
          <w:lang w:bidi="ar-SA"/>
        </w:rPr>
        <w:t>第十五条</w:t>
      </w:r>
      <w:r>
        <w:rPr>
          <w:rFonts w:ascii="Times New Roman" w:eastAsia="黑体" w:cs="黑体" w:hAnsi="Times New Roman"/>
          <w:color w:val="000000"/>
          <w:kern w:val="2"/>
          <w:sz w:val="32"/>
          <w:szCs w:val="32"/>
          <w:lang w:bidi="ar-SA"/>
        </w:rPr>
        <w:t xml:space="preserve">  </w:t>
      </w:r>
      <w:r>
        <w:rPr>
          <w:rFonts w:ascii="仿宋_GB2312" w:eastAsia="仿宋_GB2312" w:cs="黑体" w:hint="eastAsia"/>
          <w:color w:val="000000"/>
          <w:kern w:val="2"/>
          <w:sz w:val="32"/>
          <w:szCs w:val="32"/>
          <w:lang w:bidi="ar-SA"/>
        </w:rPr>
        <w:t>市人民政府</w:t>
      </w:r>
      <w:r>
        <w:rPr>
          <w:rFonts w:ascii="仿宋_GB2312" w:eastAsia="仿宋_GB2312" w:cs="宋体" w:hint="eastAsia"/>
          <w:color w:val="000000"/>
          <w:sz w:val="32"/>
          <w:szCs w:val="32"/>
          <w:lang w:bidi="ar-SA"/>
        </w:rPr>
        <w:t>建立重大行政决策立项管理制度，</w:t>
      </w:r>
      <w:r>
        <w:rPr>
          <w:rFonts w:ascii="仿宋_GB2312" w:eastAsia="仿宋_GB2312" w:cs="黑体" w:hint="eastAsia"/>
          <w:color w:val="000000"/>
          <w:kern w:val="2"/>
          <w:sz w:val="32"/>
          <w:szCs w:val="32"/>
          <w:lang w:bidi="ar-SA"/>
        </w:rPr>
        <w:t>每年年初制定年度重大行政决策事项目录。</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仿宋_GB2312" w:eastAsia="仿宋_GB2312" w:cs="宋体" w:hint="eastAsia"/>
          <w:color w:val="000000"/>
          <w:sz w:val="32"/>
          <w:szCs w:val="32"/>
          <w:lang w:bidi="ar-SA"/>
        </w:rPr>
        <w:t>实施分级分类决策，对于推进高质量发展过程中出现的新经济社会形态、新科技应用管理、新就业形态等创制性且需要在全市范围内实施的重大行政决策事项由市人民政府依法决策。</w:t>
      </w:r>
      <w:r>
        <w:rPr>
          <w:rFonts w:ascii="Times New Roman" w:eastAsia="仿宋_GB2312" w:hAnsi="Times New Roman"/>
          <w:color w:val="000000"/>
          <w:kern w:val="2"/>
          <w:sz w:val="32"/>
          <w:szCs w:val="32"/>
        </w:rPr>
        <w:t>对于县（区）人民政府、市政府工作部门能够依职权决策或者决策更有效的，</w:t>
      </w:r>
      <w:r>
        <w:rPr>
          <w:rFonts w:ascii="Times New Roman" w:eastAsia="仿宋_GB2312" w:hAnsi="Times New Roman" w:hint="eastAsia"/>
          <w:color w:val="000000"/>
          <w:kern w:val="2"/>
          <w:sz w:val="32"/>
          <w:szCs w:val="32"/>
        </w:rPr>
        <w:t>可以</w:t>
      </w:r>
      <w:r>
        <w:rPr>
          <w:rFonts w:ascii="Times New Roman" w:eastAsia="仿宋_GB2312" w:hAnsi="Times New Roman"/>
          <w:color w:val="000000"/>
          <w:kern w:val="2"/>
          <w:sz w:val="32"/>
          <w:szCs w:val="32"/>
        </w:rPr>
        <w:t>自行决策或者</w:t>
      </w:r>
      <w:r>
        <w:rPr>
          <w:rFonts w:ascii="Times New Roman" w:eastAsia="仿宋_GB2312" w:hAnsi="Times New Roman" w:hint="eastAsia"/>
          <w:color w:val="000000"/>
          <w:kern w:val="2"/>
          <w:sz w:val="32"/>
          <w:szCs w:val="32"/>
        </w:rPr>
        <w:t>依据</w:t>
      </w:r>
      <w:r>
        <w:rPr>
          <w:rFonts w:ascii="Times New Roman" w:eastAsia="仿宋_GB2312" w:hAnsi="Times New Roman"/>
          <w:color w:val="000000"/>
          <w:kern w:val="2"/>
          <w:sz w:val="32"/>
          <w:szCs w:val="32"/>
        </w:rPr>
        <w:t>市人民政府授权作出决策，不</w:t>
      </w:r>
      <w:r>
        <w:rPr>
          <w:rFonts w:ascii="Times New Roman" w:eastAsia="仿宋_GB2312" w:hAnsi="Times New Roman" w:hint="eastAsia"/>
          <w:color w:val="000000"/>
          <w:kern w:val="2"/>
          <w:sz w:val="32"/>
          <w:szCs w:val="32"/>
        </w:rPr>
        <w:t>纳入市人民政府</w:t>
      </w:r>
      <w:r>
        <w:rPr>
          <w:rFonts w:ascii="仿宋_GB2312" w:eastAsia="仿宋_GB2312" w:cs="黑体" w:hint="eastAsia"/>
          <w:color w:val="000000"/>
          <w:kern w:val="2"/>
          <w:sz w:val="32"/>
          <w:szCs w:val="32"/>
          <w:lang w:bidi="ar-SA"/>
        </w:rPr>
        <w:t>年度重大行政决策事项目录</w:t>
      </w:r>
      <w:r>
        <w:rPr>
          <w:rFonts w:ascii="Times New Roman" w:eastAsia="仿宋_GB2312" w:hAnsi="Times New Roman"/>
          <w:color w:val="000000"/>
          <w:kern w:val="2"/>
          <w:sz w:val="32"/>
          <w:szCs w:val="32"/>
        </w:rPr>
        <w:t>。</w:t>
      </w:r>
    </w:p>
    <w:p>
      <w:pPr>
        <w:widowControl w:val="0"/>
        <w:adjustRightInd w:val="0"/>
        <w:snapToGrid w:val="0"/>
        <w:spacing w:line="560" w:lineRule="exact"/>
        <w:ind w:firstLineChars="200" w:firstLine="640"/>
        <w:jc w:val="both"/>
        <w:rPr>
          <w:rFonts w:ascii="仿宋_GB2312" w:eastAsia="仿宋_GB2312" w:hint="eastAsia"/>
          <w:color w:val="000000"/>
          <w:sz w:val="32"/>
          <w:szCs w:val="32"/>
        </w:rPr>
      </w:pPr>
      <w:r>
        <w:rPr>
          <w:rFonts w:ascii="仿宋_GB2312" w:eastAsia="仿宋_GB2312" w:cs="黑体" w:hint="eastAsia"/>
          <w:color w:val="000000"/>
          <w:kern w:val="2"/>
          <w:sz w:val="32"/>
          <w:szCs w:val="32"/>
          <w:lang w:bidi="ar-SA"/>
        </w:rPr>
        <w:t>重大行政决策事项目录</w:t>
      </w:r>
      <w:r>
        <w:rPr>
          <w:rFonts w:ascii="仿宋_GB2312" w:eastAsia="仿宋_GB2312" w:hint="eastAsia"/>
          <w:color w:val="000000"/>
          <w:sz w:val="32"/>
          <w:szCs w:val="32"/>
        </w:rPr>
        <w:t>应当明确决策事项名称、内容、承办单位、完成计划等。</w:t>
      </w:r>
      <w:r>
        <w:rPr>
          <w:rFonts w:ascii="仿宋_GB2312" w:eastAsia="仿宋_GB2312" w:cs="黑体" w:hint="eastAsia"/>
          <w:color w:val="000000"/>
          <w:kern w:val="2"/>
          <w:sz w:val="32"/>
          <w:szCs w:val="32"/>
          <w:lang w:bidi="ar-SA"/>
        </w:rPr>
        <w:t>重大行政决策事项目录</w:t>
      </w:r>
      <w:r>
        <w:rPr>
          <w:rFonts w:ascii="仿宋_GB2312" w:eastAsia="仿宋_GB2312" w:hint="eastAsia"/>
          <w:color w:val="000000"/>
          <w:sz w:val="32"/>
          <w:szCs w:val="32"/>
        </w:rPr>
        <w:t>实行动态管理，根据市人民政府年度工作任务的变化，适时调整。</w:t>
      </w:r>
    </w:p>
    <w:p>
      <w:pPr>
        <w:pStyle w:val="92"/>
        <w:shd w:val="clear" w:color="auto" w:fill="FFFFFF"/>
        <w:spacing w:before="0" w:beforeAutospacing="0" w:after="0" w:afterAutospacing="0" w:line="560" w:lineRule="exact"/>
        <w:ind w:firstLineChars="200" w:firstLine="664"/>
        <w:jc w:val="both"/>
        <w:rPr>
          <w:rFonts w:ascii="仿宋_GB2312" w:eastAsia="仿宋_GB2312" w:hint="eastAsia"/>
          <w:color w:val="000000"/>
          <w:spacing w:val="6"/>
          <w:sz w:val="32"/>
          <w:szCs w:val="32"/>
        </w:rPr>
      </w:pPr>
      <w:r>
        <w:rPr>
          <w:rFonts w:ascii="微软雅黑" w:eastAsia="微软雅黑" w:hint="eastAsia"/>
          <w:color w:val="000000"/>
          <w:spacing w:val="6"/>
          <w:sz w:val="32"/>
          <w:szCs w:val="32"/>
        </w:rPr>
        <w:t>第十六条</w:t>
      </w:r>
      <w:r>
        <w:rPr>
          <w:rFonts w:ascii="Î¢ÈíÑÅºÚ Western" w:eastAsia="微软雅黑" w:hAnsi="Î¢ÈíÑÅºÚ Western"/>
          <w:color w:val="000000"/>
          <w:spacing w:val="6"/>
          <w:sz w:val="32"/>
          <w:szCs w:val="32"/>
        </w:rPr>
        <w:t> </w:t>
      </w:r>
      <w:r>
        <w:rPr>
          <w:rFonts w:ascii="Arial" w:eastAsia="微软雅黑" w:cs="Arial" w:hAnsi="Arial"/>
          <w:color w:val="000000"/>
          <w:spacing w:val="6"/>
          <w:sz w:val="32"/>
          <w:szCs w:val="32"/>
          <w:lang w:bidi="ar-SA"/>
        </w:rPr>
        <w:t> </w:t>
      </w:r>
      <w:r>
        <w:rPr>
          <w:rFonts w:ascii="仿宋_GB2312" w:eastAsia="仿宋_GB2312" w:cs="黑体" w:hint="eastAsia"/>
          <w:color w:val="000000"/>
          <w:kern w:val="2"/>
          <w:sz w:val="32"/>
          <w:szCs w:val="32"/>
          <w:lang w:bidi="ar-SA"/>
        </w:rPr>
        <w:t>重大行政决策事项目录</w:t>
      </w:r>
      <w:r>
        <w:rPr>
          <w:rFonts w:ascii="仿宋_GB2312" w:eastAsia="仿宋_GB2312" w:hint="eastAsia"/>
          <w:color w:val="000000"/>
          <w:spacing w:val="6"/>
          <w:sz w:val="32"/>
          <w:szCs w:val="32"/>
        </w:rPr>
        <w:t>编制前，应当充分征集公民、法人和其他组织的意见。</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任何单位和个人可以通过市长信箱、书面来信等方式向市人民政府提出</w:t>
      </w:r>
      <w:r>
        <w:rPr>
          <w:rFonts w:ascii="仿宋_GB2312" w:eastAsia="仿宋_GB2312" w:hint="eastAsia"/>
          <w:color w:val="000000"/>
          <w:spacing w:val="6"/>
          <w:sz w:val="32"/>
          <w:szCs w:val="32"/>
        </w:rPr>
        <w:t>重大行政决策项目建议。</w:t>
      </w:r>
    </w:p>
    <w:p>
      <w:pPr>
        <w:widowControl w:val="0"/>
        <w:adjustRightInd w:val="0"/>
        <w:snapToGrid w:val="0"/>
        <w:spacing w:line="560" w:lineRule="exact"/>
        <w:ind w:firstLineChars="200" w:firstLine="664"/>
        <w:jc w:val="both"/>
        <w:rPr>
          <w:rFonts w:ascii="Times New Roman" w:eastAsia="仿宋_GB2312" w:hAnsi="Times New Roman" w:hint="eastAsia"/>
          <w:color w:val="000000"/>
          <w:kern w:val="2"/>
          <w:sz w:val="32"/>
          <w:szCs w:val="32"/>
        </w:rPr>
      </w:pPr>
      <w:r>
        <w:rPr>
          <w:rFonts w:ascii="微软雅黑" w:eastAsia="微软雅黑" w:hint="eastAsia"/>
          <w:color w:val="000000"/>
          <w:spacing w:val="6"/>
          <w:sz w:val="32"/>
          <w:szCs w:val="32"/>
        </w:rPr>
        <w:t>第十七条</w:t>
      </w:r>
      <w:r>
        <w:rPr>
          <w:rFonts w:ascii="Î¢ÈíÑÅºÚ Western" w:eastAsia="微软雅黑" w:hAnsi="Î¢ÈíÑÅºÚ Western"/>
          <w:color w:val="000000"/>
          <w:spacing w:val="6"/>
          <w:sz w:val="32"/>
          <w:szCs w:val="32"/>
        </w:rPr>
        <w:t> </w:t>
      </w:r>
      <w:r>
        <w:rPr>
          <w:rFonts w:ascii="Arial" w:eastAsia="微软雅黑" w:cs="Arial" w:hAnsi="Arial"/>
          <w:color w:val="000000"/>
          <w:spacing w:val="6"/>
          <w:sz w:val="32"/>
          <w:szCs w:val="32"/>
          <w:lang w:bidi="ar-SA"/>
        </w:rPr>
        <w:t> </w:t>
      </w:r>
      <w:r>
        <w:rPr>
          <w:rFonts w:ascii="Times New Roman" w:eastAsia="仿宋_GB2312" w:hAnsi="Times New Roman" w:hint="eastAsia"/>
          <w:color w:val="000000"/>
          <w:kern w:val="2"/>
          <w:sz w:val="32"/>
          <w:szCs w:val="32"/>
        </w:rPr>
        <w:t>市人民政府办公室于每年</w:t>
      </w:r>
      <w:r>
        <w:rPr>
          <w:rFonts w:ascii="Times New Roman" w:eastAsia="仿宋_GB2312" w:hAnsi="Times New Roman"/>
          <w:color w:val="000000"/>
          <w:kern w:val="2"/>
          <w:sz w:val="32"/>
          <w:szCs w:val="32"/>
        </w:rPr>
        <w:t>12</w:t>
      </w:r>
      <w:r>
        <w:rPr>
          <w:rFonts w:ascii="Times New Roman" w:eastAsia="仿宋_GB2312" w:hAnsi="Times New Roman" w:hint="eastAsia"/>
          <w:color w:val="000000"/>
          <w:kern w:val="2"/>
          <w:sz w:val="32"/>
          <w:szCs w:val="32"/>
        </w:rPr>
        <w:t>月</w:t>
      </w:r>
      <w:r>
        <w:rPr>
          <w:rFonts w:ascii="Times New Roman" w:eastAsia="仿宋_GB2312" w:hAnsi="Times New Roman"/>
          <w:color w:val="000000"/>
          <w:kern w:val="2"/>
          <w:sz w:val="32"/>
          <w:szCs w:val="32"/>
        </w:rPr>
        <w:t>20</w:t>
      </w:r>
      <w:r>
        <w:rPr>
          <w:rFonts w:ascii="Times New Roman" w:eastAsia="仿宋_GB2312" w:hAnsi="Times New Roman" w:hint="eastAsia"/>
          <w:color w:val="000000"/>
          <w:kern w:val="2"/>
          <w:sz w:val="32"/>
          <w:szCs w:val="32"/>
        </w:rPr>
        <w:t>日前组织申报下一年度市人民政府重大行政决策事项目录的建议，并会同市发展和改革委、市财政局、市司法局等部门编制年度</w:t>
      </w:r>
      <w:r>
        <w:rPr>
          <w:rFonts w:ascii="仿宋_GB2312" w:eastAsia="仿宋_GB2312" w:cs="黑体" w:hint="eastAsia"/>
          <w:color w:val="000000"/>
          <w:kern w:val="2"/>
          <w:sz w:val="32"/>
          <w:szCs w:val="32"/>
          <w:lang w:bidi="ar-SA"/>
        </w:rPr>
        <w:t>重大行政决策事项目录</w:t>
      </w:r>
      <w:r>
        <w:rPr>
          <w:rFonts w:ascii="Times New Roman" w:eastAsia="仿宋_GB2312" w:hAnsi="Times New Roman" w:hint="eastAsia"/>
          <w:color w:val="000000"/>
          <w:kern w:val="2"/>
          <w:sz w:val="32"/>
          <w:szCs w:val="32"/>
        </w:rPr>
        <w:t>。</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市发展和改革委负责做好经济和社会发展等方面的重要规划、重大公共建设项目、政府重大投资项目等纳入</w:t>
      </w:r>
      <w:r>
        <w:rPr>
          <w:rFonts w:ascii="仿宋_GB2312" w:eastAsia="仿宋_GB2312" w:cs="黑体" w:hint="eastAsia"/>
          <w:color w:val="000000"/>
          <w:kern w:val="2"/>
          <w:sz w:val="32"/>
          <w:szCs w:val="32"/>
          <w:lang w:bidi="ar-SA"/>
        </w:rPr>
        <w:t>重大行政决策事项目录</w:t>
      </w:r>
      <w:r>
        <w:rPr>
          <w:rFonts w:ascii="Times New Roman" w:eastAsia="仿宋_GB2312" w:hAnsi="Times New Roman" w:hint="eastAsia"/>
          <w:color w:val="000000"/>
          <w:kern w:val="2"/>
          <w:sz w:val="32"/>
          <w:szCs w:val="32"/>
        </w:rPr>
        <w:t>编制管理的指导、协调、监督工作。</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市财政局负责做好政府重大财政资金使用项目纳入</w:t>
      </w:r>
      <w:r>
        <w:rPr>
          <w:rFonts w:ascii="仿宋_GB2312" w:eastAsia="仿宋_GB2312" w:cs="黑体" w:hint="eastAsia"/>
          <w:color w:val="000000"/>
          <w:kern w:val="2"/>
          <w:sz w:val="32"/>
          <w:szCs w:val="32"/>
          <w:lang w:bidi="ar-SA"/>
        </w:rPr>
        <w:t>重大行政决策事项目录</w:t>
      </w:r>
      <w:r>
        <w:rPr>
          <w:rFonts w:ascii="Times New Roman" w:eastAsia="仿宋_GB2312" w:hAnsi="Times New Roman" w:hint="eastAsia"/>
          <w:color w:val="000000"/>
          <w:kern w:val="2"/>
          <w:sz w:val="32"/>
          <w:szCs w:val="32"/>
        </w:rPr>
        <w:t>编制管理的指导、协调、监督工作。</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市自然资源和规划局负责做好重要区域规划和专项规划、重要自然资源的开发利用和保护等纳入</w:t>
      </w:r>
      <w:r>
        <w:rPr>
          <w:rFonts w:ascii="仿宋_GB2312" w:eastAsia="仿宋_GB2312" w:cs="黑体" w:hint="eastAsia"/>
          <w:color w:val="000000"/>
          <w:kern w:val="2"/>
          <w:sz w:val="32"/>
          <w:szCs w:val="32"/>
          <w:lang w:bidi="ar-SA"/>
        </w:rPr>
        <w:t>重大行政决策事项目录</w:t>
      </w:r>
      <w:r>
        <w:rPr>
          <w:rFonts w:ascii="Times New Roman" w:eastAsia="仿宋_GB2312" w:hAnsi="Times New Roman" w:hint="eastAsia"/>
          <w:color w:val="000000"/>
          <w:kern w:val="2"/>
          <w:sz w:val="32"/>
          <w:szCs w:val="32"/>
        </w:rPr>
        <w:t>编制管理的指导、协调、监督工作。</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市住房和城乡建设局负责做好中心城市建设重点工程项目纳入</w:t>
      </w:r>
      <w:r>
        <w:rPr>
          <w:rFonts w:ascii="仿宋_GB2312" w:eastAsia="仿宋_GB2312" w:cs="黑体" w:hint="eastAsia"/>
          <w:color w:val="000000"/>
          <w:kern w:val="2"/>
          <w:sz w:val="32"/>
          <w:szCs w:val="32"/>
          <w:lang w:bidi="ar-SA"/>
        </w:rPr>
        <w:t>重大行政决策事项目录</w:t>
      </w:r>
      <w:r>
        <w:rPr>
          <w:rFonts w:ascii="Times New Roman" w:eastAsia="仿宋_GB2312" w:hAnsi="Times New Roman" w:hint="eastAsia"/>
          <w:color w:val="000000"/>
          <w:kern w:val="2"/>
          <w:sz w:val="32"/>
          <w:szCs w:val="32"/>
        </w:rPr>
        <w:t>编制管理的指导、协调、监督工作。</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市司法局负责做好重大行政决策事项合法性审查。</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市审计局按照规定对重大行政决策事项开展审计监督。</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生态环境、文化广电和旅游、教育、卫生健康、市场监管等部门按照各自职责，配合做好</w:t>
      </w:r>
      <w:r>
        <w:rPr>
          <w:rFonts w:ascii="仿宋_GB2312" w:eastAsia="仿宋_GB2312" w:cs="黑体" w:hint="eastAsia"/>
          <w:color w:val="000000"/>
          <w:kern w:val="2"/>
          <w:sz w:val="32"/>
          <w:szCs w:val="32"/>
          <w:lang w:bidi="ar-SA"/>
        </w:rPr>
        <w:t>重大行政决策事项目录</w:t>
      </w:r>
      <w:r>
        <w:rPr>
          <w:rFonts w:ascii="Times New Roman" w:eastAsia="仿宋_GB2312" w:hAnsi="Times New Roman" w:hint="eastAsia"/>
          <w:color w:val="000000"/>
          <w:kern w:val="2"/>
          <w:sz w:val="32"/>
          <w:szCs w:val="32"/>
        </w:rPr>
        <w:t>编制管理工作。</w:t>
      </w:r>
    </w:p>
    <w:p>
      <w:pPr>
        <w:pStyle w:val="92"/>
        <w:shd w:val="clear" w:color="auto" w:fill="FFFFFF"/>
        <w:spacing w:before="0" w:beforeAutospacing="0" w:after="0" w:afterAutospacing="0" w:line="560" w:lineRule="exact"/>
        <w:ind w:firstLineChars="200" w:firstLine="664"/>
        <w:jc w:val="both"/>
        <w:rPr>
          <w:rFonts w:ascii="仿宋_GB2312" w:eastAsia="仿宋_GB2312" w:hint="eastAsia"/>
          <w:color w:val="000000"/>
          <w:spacing w:val="6"/>
          <w:sz w:val="32"/>
          <w:szCs w:val="32"/>
        </w:rPr>
      </w:pPr>
      <w:r>
        <w:rPr>
          <w:rFonts w:ascii="微软雅黑" w:eastAsia="微软雅黑" w:hint="eastAsia"/>
          <w:color w:val="000000"/>
          <w:spacing w:val="6"/>
          <w:sz w:val="32"/>
          <w:szCs w:val="32"/>
        </w:rPr>
        <w:t>第十八条</w:t>
      </w:r>
      <w:r>
        <w:rPr>
          <w:rFonts w:ascii="Arial" w:eastAsia="微软雅黑" w:cs="Arial" w:hAnsi="Arial"/>
          <w:color w:val="000000"/>
          <w:spacing w:val="6"/>
          <w:sz w:val="32"/>
          <w:szCs w:val="32"/>
          <w:lang w:bidi="ar-SA"/>
        </w:rPr>
        <w:t> </w:t>
      </w:r>
      <w:r>
        <w:rPr>
          <w:rFonts w:ascii="Î¢ÈíÑÅºÚ Western" w:eastAsia="微软雅黑" w:hAnsi="Î¢ÈíÑÅºÚ Western"/>
          <w:color w:val="000000"/>
          <w:spacing w:val="6"/>
          <w:sz w:val="32"/>
          <w:szCs w:val="32"/>
        </w:rPr>
        <w:t> </w:t>
      </w:r>
      <w:r>
        <w:rPr>
          <w:rFonts w:ascii="仿宋_GB2312" w:eastAsia="仿宋_GB2312" w:hint="eastAsia"/>
          <w:color w:val="000000"/>
          <w:spacing w:val="6"/>
          <w:sz w:val="32"/>
          <w:szCs w:val="32"/>
        </w:rPr>
        <w:t>重大行政决策事项目录</w:t>
      </w:r>
      <w:r>
        <w:rPr>
          <w:rFonts w:ascii="仿宋_GB2312" w:eastAsia="仿宋_GB2312" w:hint="eastAsia"/>
          <w:color w:val="000000"/>
          <w:sz w:val="32"/>
          <w:szCs w:val="32"/>
        </w:rPr>
        <w:t>根据市委、市人民政府重大决策部署安排，各单位申报，人大代表、政协委员提案等情况综合研究确定。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p>
    <w:p>
      <w:pPr>
        <w:widowControl w:val="0"/>
        <w:numPr>
          <w:ilvl w:val="0"/>
          <w:numId w:val="1"/>
        </w:numPr>
        <w:tabs>
          <w:tab w:val="left" w:pos="1283"/>
        </w:tabs>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公众参与</w:t>
      </w:r>
    </w:p>
    <w:p>
      <w:pPr>
        <w:widowControl w:val="0"/>
        <w:adjustRightInd w:val="0"/>
        <w:snapToGrid w:val="0"/>
        <w:spacing w:line="560" w:lineRule="exact"/>
        <w:jc w:val="center"/>
        <w:rPr>
          <w:rFonts w:ascii="黑体" w:eastAsia="黑体" w:hint="eastAsia"/>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黑体" w:cs="黑体" w:hAnsi="Times New Roman" w:hint="eastAsia"/>
          <w:color w:val="000000"/>
          <w:kern w:val="2"/>
          <w:sz w:val="32"/>
          <w:szCs w:val="32"/>
          <w:lang w:bidi="ar-SA"/>
        </w:rPr>
        <w:t>第十九条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决策承办单位应当采取便于公民、法人或者其他组织以及特定群体参与的方式充分听取意见，依法不予公开的决策事项除外。</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承办单位根据决策事项的性质类别、复杂程度、影响范围、社会关注度、实施条件等因素，可以采取座谈会、听证会、实地走访调研、书面征求意见、向社会公开征求意见、问卷调查、民意调查、网络平台互动等多种方式听取意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决策事项涉及特定群体利益的，决策承办单位应当与相关人民团体、社会组织以及群众代表进行沟通协商，充分听取相关群体的意见建议。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决策事项与企业切身利益或者权利义务有重大影响的，决策承办单位应当听取包括民营企业、劳动密集型企业、中小企业等有代表性的企业和相关行业协会、商会的意见建议。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决策承办单位向社会公开征求意见的，应当遵守下列规定：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（一）通过政府网站、政务新媒体以及报刊、广播、电视等便于社会公众知晓的途径公布决策草案及其说明等材料；</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（二）明确提出意见的方式和期限；</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（三）公开征求意见的期限一般不少于</w:t>
      </w:r>
      <w:r>
        <w:rPr>
          <w:rFonts w:ascii="Times New Roman" w:eastAsia="仿宋_GB2312" w:cs="方正仿宋_GBK" w:hAnsi="Times New Roman"/>
          <w:color w:val="000000"/>
          <w:kern w:val="2"/>
          <w:sz w:val="32"/>
          <w:szCs w:val="32"/>
          <w:lang w:bidi="ar-SA"/>
        </w:rPr>
        <w:t>30</w:t>
      </w:r>
      <w:r>
        <w:rPr>
          <w:rFonts w:ascii="Times New Roman" w:eastAsia="仿宋_GB2312" w:hAnsi="Times New Roman" w:hint="eastAsia"/>
          <w:color w:val="000000"/>
          <w:kern w:val="2"/>
          <w:sz w:val="32"/>
          <w:szCs w:val="32"/>
        </w:rPr>
        <w:t>日；因情况紧急等原因需要缩短期限的，公开征求意见时应当予以说明。</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对社会公众普遍关心或者专业性、技术性较强的问题，决策承办单位可以通过专家访谈、媒体专访、召开新闻发布会等方式进行解释说明。</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第二十一条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决策事项直接涉及公民、法人、其他组织切身利益或者存在较大分歧的，可以召开听证会。法律、法规、规章对召开听证会另有规定的，依照其规定。</w:t>
      </w:r>
    </w:p>
    <w:p>
      <w:pPr>
        <w:widowControl w:val="0"/>
        <w:adjustRightInd w:val="0"/>
        <w:snapToGrid w:val="0"/>
        <w:spacing w:line="560" w:lineRule="exact"/>
        <w:ind w:firstLineChars="200" w:firstLine="640"/>
        <w:jc w:val="both"/>
        <w:rPr>
          <w:rFonts w:ascii="仿宋_GB2312" w:eastAsia="仿宋_GB2312" w:cs="宋体" w:hint="eastAsia"/>
          <w:color w:val="000000"/>
          <w:sz w:val="32"/>
          <w:szCs w:val="32"/>
          <w:lang w:bidi="ar-SA"/>
        </w:rPr>
      </w:pPr>
      <w:r>
        <w:rPr>
          <w:rFonts w:ascii="Times New Roman" w:eastAsia="仿宋_GB2312" w:hAnsi="Times New Roman" w:hint="eastAsia"/>
          <w:color w:val="000000"/>
          <w:kern w:val="2"/>
          <w:sz w:val="32"/>
          <w:szCs w:val="32"/>
        </w:rPr>
        <w:t>需要遴选听证参加人的，决策承办单位还应当公布听证参加人遴选办法和遴选时间，公平公开组织遴选，</w:t>
      </w:r>
      <w:r>
        <w:rPr>
          <w:rFonts w:ascii="仿宋_GB2312" w:eastAsia="仿宋_GB2312" w:cs="宋体" w:hint="eastAsia"/>
          <w:color w:val="000000"/>
          <w:sz w:val="32"/>
          <w:szCs w:val="32"/>
          <w:lang w:bidi="ar-SA"/>
        </w:rPr>
        <w:t>保证</w:t>
      </w:r>
      <w:r>
        <w:rPr>
          <w:rFonts w:ascii="Times New Roman" w:eastAsia="仿宋_GB2312" w:hAnsi="Times New Roman" w:hint="eastAsia"/>
          <w:color w:val="000000"/>
          <w:kern w:val="2"/>
          <w:sz w:val="32"/>
          <w:szCs w:val="32"/>
        </w:rPr>
        <w:t>相关各方都有代表参加听证会。</w:t>
      </w:r>
      <w:r>
        <w:rPr>
          <w:rFonts w:ascii="仿宋_GB2312" w:eastAsia="仿宋_GB2312" w:cs="宋体" w:hint="eastAsia"/>
          <w:color w:val="000000"/>
          <w:sz w:val="32"/>
          <w:szCs w:val="32"/>
          <w:lang w:bidi="ar-SA"/>
        </w:rPr>
        <w:t>听证参加人名单应当提前向社会公布，听证会材料应当于召开听证会</w:t>
      </w:r>
      <w:r>
        <w:rPr>
          <w:rFonts w:ascii="Times New Roman" w:eastAsia="仿宋_GB2312" w:hAnsi="Times New Roman"/>
          <w:color w:val="000000"/>
          <w:sz w:val="32"/>
          <w:szCs w:val="32"/>
        </w:rPr>
        <w:t>7</w:t>
      </w:r>
      <w:r>
        <w:rPr>
          <w:rFonts w:ascii="仿宋_GB2312" w:eastAsia="仿宋_GB2312" w:cs="宋体" w:hint="eastAsia"/>
          <w:color w:val="000000"/>
          <w:sz w:val="32"/>
          <w:szCs w:val="32"/>
          <w:lang w:bidi="ar-SA"/>
        </w:rPr>
        <w:t>日前送达听证参加人。</w:t>
      </w:r>
    </w:p>
    <w:p>
      <w:pPr>
        <w:shd w:val="clear" w:color="auto" w:fill="FFFFFF"/>
        <w:spacing w:line="560" w:lineRule="exact"/>
        <w:ind w:firstLineChars="200" w:firstLine="640"/>
        <w:outlineLvl w:val="3"/>
        <w:rPr>
          <w:rFonts w:ascii="Times New Roman" w:eastAsia="仿宋_GB2312" w:hAnsi="Times New Roman" w:hint="eastAsia"/>
          <w:color w:val="000000"/>
          <w:kern w:val="2"/>
          <w:sz w:val="32"/>
          <w:szCs w:val="32"/>
        </w:rPr>
      </w:pPr>
      <w:r>
        <w:rPr>
          <w:rFonts w:ascii="Times New Roman" w:eastAsia="黑体" w:cs="黑体" w:hAnsi="Times New Roman" w:hint="eastAsia"/>
          <w:color w:val="000000"/>
          <w:kern w:val="2"/>
          <w:sz w:val="32"/>
          <w:szCs w:val="32"/>
          <w:lang w:bidi="ar-SA"/>
        </w:rPr>
        <w:t>第二十二条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听证会应当按照下列程序公开举行：</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（一）决策承办单位介绍决策草案、依据和有关情况；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（二）听证参加人陈述意见，进行询问、质证和辩论，必要时可以由决策承办单位或者有关专家进行解释说明；</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（三）听证参加人确认听证会记录并签字。</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第二十三条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决策承办单位采取民意调查方式听取意见的，可以自行或者委托无利害关系的第三方进行。第三方组织民意调查的，应当遵守有关保密规定。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采取民意调查的方式听取意见，应当在民意调查结束后制作民意调查报告。民意调查报告应当载明调查事项、调查范围、调查方式、调查所得的各类意见和意见分析数据等内容。</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第二十四条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决策承办单位采取网络平台互动的方式听取意见的，应当遵守下列规定：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（一）制定工作方案，明确决策事项应当听取意见的主要问题、意见提交期限和方式等内容；</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（二）提前</w:t>
      </w:r>
      <w:r>
        <w:rPr>
          <w:rFonts w:ascii="Times New Roman" w:eastAsia="仿宋_GB2312" w:cs="方正仿宋_GBK" w:hAnsi="Times New Roman"/>
          <w:color w:val="000000"/>
          <w:kern w:val="2"/>
          <w:sz w:val="32"/>
          <w:szCs w:val="32"/>
          <w:lang w:bidi="ar-SA"/>
        </w:rPr>
        <w:t>7</w:t>
      </w:r>
      <w:r>
        <w:rPr>
          <w:rFonts w:ascii="Times New Roman" w:eastAsia="仿宋_GB2312" w:hAnsi="Times New Roman" w:hint="eastAsia"/>
          <w:color w:val="000000"/>
          <w:kern w:val="2"/>
          <w:sz w:val="32"/>
          <w:szCs w:val="32"/>
        </w:rPr>
        <w:t>日向社会发布相关信息；</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（三）做好相关政策在线解释、说明工作；</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（四）将公众意见记录存档。</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第二十五条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决策承办单位应当将各方面对决策草案的意见和建议进行归类整理、研究论证，充分采纳合理意见和建议，完善决策草案。决策承办单位可以探索建立意见反馈机制。</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p>
    <w:p>
      <w:pPr>
        <w:widowControl w:val="0"/>
        <w:numPr>
          <w:ilvl w:val="0"/>
          <w:numId w:val="1"/>
        </w:numPr>
        <w:tabs>
          <w:tab w:val="left" w:pos="1283"/>
        </w:tabs>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专家论证</w:t>
      </w:r>
    </w:p>
    <w:p>
      <w:pPr>
        <w:widowControl w:val="0"/>
        <w:adjustRightInd w:val="0"/>
        <w:snapToGrid w:val="0"/>
        <w:spacing w:line="560" w:lineRule="exact"/>
        <w:jc w:val="center"/>
        <w:rPr>
          <w:rFonts w:ascii="Times New Roman" w:eastAsia="方正楷体_GBK" w:hAnsi="Times New Roman"/>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第二十六条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决策事项涉及的问题专业性、技术性较强的，决策承办单位应当组织</w:t>
      </w:r>
      <w:r>
        <w:rPr>
          <w:rFonts w:ascii="Times New Roman" w:eastAsia="仿宋_GB2312" w:hAnsi="Times New Roman"/>
          <w:color w:val="000000"/>
          <w:kern w:val="2"/>
          <w:sz w:val="32"/>
          <w:szCs w:val="32"/>
        </w:rPr>
        <w:t>5</w:t>
      </w:r>
      <w:r>
        <w:rPr>
          <w:rFonts w:ascii="Times New Roman" w:eastAsia="仿宋_GB2312" w:hAnsi="Times New Roman" w:hint="eastAsia"/>
          <w:color w:val="000000"/>
          <w:kern w:val="2"/>
          <w:sz w:val="32"/>
          <w:szCs w:val="32"/>
        </w:rPr>
        <w:t>名以上专家（含专业机构）对决策事项的必要性、可行性、科学性等进行论证。</w:t>
      </w:r>
    </w:p>
    <w:p>
      <w:pPr>
        <w:widowControl w:val="0"/>
        <w:adjustRightInd w:val="0"/>
        <w:snapToGrid w:val="0"/>
        <w:spacing w:line="560" w:lineRule="exact"/>
        <w:ind w:firstLineChars="200" w:firstLine="640"/>
        <w:jc w:val="both"/>
        <w:rPr>
          <w:rFonts w:ascii="仿宋_GB2312" w:eastAsia="仿宋_GB2312" w:cs="黑体" w:hint="eastAsia"/>
          <w:color w:val="000000"/>
          <w:kern w:val="2"/>
          <w:sz w:val="32"/>
          <w:szCs w:val="32"/>
          <w:lang w:bidi="ar-SA"/>
        </w:rPr>
      </w:pPr>
      <w:r>
        <w:rPr>
          <w:rFonts w:ascii="仿宋_GB2312" w:eastAsia="仿宋_GB2312" w:cs="黑体" w:hint="eastAsia"/>
          <w:color w:val="000000"/>
          <w:kern w:val="2"/>
          <w:sz w:val="32"/>
          <w:szCs w:val="32"/>
          <w:lang w:bidi="ar-SA"/>
        </w:rPr>
        <w:t>决策承办单位选择专</w:t>
      </w:r>
      <w:r>
        <w:rPr>
          <w:rFonts w:ascii="Times New Roman" w:eastAsia="仿宋_GB2312" w:hAnsi="Times New Roman" w:hint="eastAsia"/>
          <w:color w:val="000000"/>
          <w:kern w:val="2"/>
          <w:sz w:val="32"/>
          <w:szCs w:val="32"/>
        </w:rPr>
        <w:t>家、专业机构应</w:t>
      </w:r>
      <w:r>
        <w:rPr>
          <w:rFonts w:ascii="仿宋_GB2312" w:eastAsia="仿宋_GB2312" w:cs="黑体" w:hint="eastAsia"/>
          <w:color w:val="000000"/>
          <w:kern w:val="2"/>
          <w:sz w:val="32"/>
          <w:szCs w:val="32"/>
          <w:lang w:bidi="ar-SA"/>
        </w:rPr>
        <w:t>当注重专业性、代表性、均衡性和公信力。对论证问题存在重大分歧的，持不同意见的各方都应当有代表参与论证。不得选择与决策事项有直接利害关系的专家、专业机构。</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黑体" w:cs="黑体" w:hAnsi="Times New Roman" w:hint="eastAsia"/>
          <w:color w:val="000000"/>
          <w:kern w:val="2"/>
          <w:sz w:val="32"/>
          <w:szCs w:val="32"/>
          <w:lang w:bidi="ar-SA"/>
        </w:rPr>
        <w:t>第二十七条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市人民政府根据需要建立重大行政决策咨询论证专家库（以下简称专家库），健全完善工作规则、运作机制、专家诚信考核和退出机制。专家库建立之前，可以使用上级行政机关的专家库。</w:t>
      </w:r>
    </w:p>
    <w:p>
      <w:pPr>
        <w:widowControl w:val="0"/>
        <w:adjustRightInd w:val="0"/>
        <w:snapToGrid w:val="0"/>
        <w:spacing w:line="560" w:lineRule="exact"/>
        <w:ind w:firstLineChars="200" w:firstLine="640"/>
        <w:jc w:val="both"/>
        <w:rPr>
          <w:rFonts w:ascii="仿宋_GB2312" w:eastAsia="仿宋_GB2312" w:cs="黑体" w:hint="eastAsia"/>
          <w:color w:val="000000"/>
          <w:kern w:val="2"/>
          <w:sz w:val="32"/>
          <w:szCs w:val="32"/>
          <w:lang w:bidi="ar-SA"/>
        </w:rPr>
      </w:pPr>
      <w:r>
        <w:rPr>
          <w:rFonts w:ascii="Times New Roman" w:eastAsia="黑体" w:cs="黑体" w:hAnsi="Times New Roman" w:hint="eastAsia"/>
          <w:color w:val="000000"/>
          <w:kern w:val="2"/>
          <w:sz w:val="32"/>
          <w:szCs w:val="32"/>
          <w:lang w:bidi="ar-SA"/>
        </w:rPr>
        <w:t>第二十八条　</w:t>
      </w:r>
      <w:r>
        <w:rPr>
          <w:rFonts w:ascii="仿宋_GB2312" w:eastAsia="仿宋_GB2312" w:cs="黑体" w:hint="eastAsia"/>
          <w:color w:val="000000"/>
          <w:kern w:val="2"/>
          <w:sz w:val="32"/>
          <w:szCs w:val="32"/>
          <w:lang w:bidi="ar-SA"/>
        </w:rPr>
        <w:t>决策承办单位组织专家论证，可以采取召开论证会、书面咨询、委托咨询论证等方式。</w:t>
      </w:r>
    </w:p>
    <w:p>
      <w:pPr>
        <w:widowControl w:val="0"/>
        <w:adjustRightInd w:val="0"/>
        <w:snapToGrid w:val="0"/>
        <w:spacing w:line="560" w:lineRule="exact"/>
        <w:ind w:firstLineChars="200" w:firstLine="640"/>
        <w:jc w:val="both"/>
        <w:rPr>
          <w:rFonts w:ascii="仿宋_GB2312" w:eastAsia="仿宋_GB2312" w:cs="黑体" w:hint="eastAsia"/>
          <w:color w:val="000000"/>
          <w:kern w:val="2"/>
          <w:sz w:val="32"/>
          <w:szCs w:val="32"/>
          <w:lang w:bidi="ar-SA"/>
        </w:rPr>
      </w:pPr>
      <w:r>
        <w:rPr>
          <w:rFonts w:ascii="仿宋_GB2312" w:eastAsia="仿宋_GB2312" w:cs="黑体" w:hint="eastAsia"/>
          <w:color w:val="000000"/>
          <w:kern w:val="2"/>
          <w:sz w:val="32"/>
          <w:szCs w:val="32"/>
          <w:lang w:bidi="ar-SA"/>
        </w:rPr>
        <w:t>决策承办单位召开论证会的，应当提前</w:t>
      </w:r>
      <w:r>
        <w:rPr>
          <w:rFonts w:ascii="Times New Roman" w:eastAsia="仿宋_GB2312" w:hAnsi="Times New Roman"/>
          <w:color w:val="000000"/>
          <w:kern w:val="2"/>
          <w:sz w:val="32"/>
          <w:szCs w:val="32"/>
        </w:rPr>
        <w:t>7</w:t>
      </w:r>
      <w:r>
        <w:rPr>
          <w:rFonts w:ascii="仿宋_GB2312" w:eastAsia="仿宋_GB2312" w:cs="黑体" w:hint="eastAsia"/>
          <w:color w:val="000000"/>
          <w:kern w:val="2"/>
          <w:sz w:val="32"/>
          <w:szCs w:val="32"/>
          <w:lang w:bidi="ar-SA"/>
        </w:rPr>
        <w:t>日向参与论证的专家、专业机构提供决策草案、草案说明、论证重点以及相关材料。</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决策</w:t>
      </w:r>
      <w:r>
        <w:rPr>
          <w:rFonts w:ascii="仿宋_GB2312" w:eastAsia="仿宋_GB2312" w:cs="黑体" w:hint="eastAsia"/>
          <w:color w:val="000000"/>
          <w:kern w:val="2"/>
          <w:sz w:val="32"/>
          <w:szCs w:val="32"/>
          <w:lang w:bidi="ar-SA"/>
        </w:rPr>
        <w:t>承办单位应当公开专家、专业机构有关信息</w:t>
      </w:r>
      <w:r>
        <w:rPr>
          <w:rFonts w:ascii="Times New Roman" w:eastAsia="仿宋_GB2312" w:hAnsi="Times New Roman" w:hint="eastAsia"/>
          <w:color w:val="000000"/>
          <w:kern w:val="2"/>
          <w:sz w:val="32"/>
          <w:szCs w:val="32"/>
        </w:rPr>
        <w:t>。</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第二十九条</w:t>
      </w:r>
      <w:r>
        <w:rPr>
          <w:rFonts w:ascii="Times New Roman" w:eastAsia="黑体" w:cs="黑体" w:hAnsi="Times New Roman"/>
          <w:color w:val="000000"/>
          <w:kern w:val="2"/>
          <w:sz w:val="32"/>
          <w:szCs w:val="32"/>
          <w:lang w:bidi="ar-SA"/>
        </w:rPr>
        <w:t xml:space="preserve">  </w:t>
      </w:r>
      <w:r>
        <w:rPr>
          <w:rFonts w:ascii="仿宋_GB2312" w:eastAsia="仿宋_GB2312" w:cs="黑体" w:hint="eastAsia"/>
          <w:color w:val="000000"/>
          <w:kern w:val="2"/>
          <w:sz w:val="32"/>
          <w:szCs w:val="32"/>
          <w:lang w:bidi="ar-SA"/>
        </w:rPr>
        <w:t>专家和专业机构应当独立开展论证工作</w:t>
      </w:r>
      <w:r>
        <w:rPr>
          <w:rFonts w:ascii="Times New Roman" w:eastAsia="仿宋_GB2312" w:hAnsi="Times New Roman" w:hint="eastAsia"/>
          <w:color w:val="000000"/>
          <w:kern w:val="2"/>
          <w:sz w:val="32"/>
          <w:szCs w:val="32"/>
        </w:rPr>
        <w:t>，客观、公正、科学地提出论证意见，并对所知悉的国家秘密、商业秘密、个人隐私依法履行保密义务。</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专家和专业机构论证后，应当出具签名或者盖章的书面论证意见。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第三十条</w:t>
      </w:r>
      <w:r>
        <w:rPr>
          <w:rFonts w:ascii="Times New Roman" w:eastAsia="黑体" w:cs="黑体" w:hAnsi="Times New Roman"/>
          <w:color w:val="000000"/>
          <w:kern w:val="2"/>
          <w:sz w:val="32"/>
          <w:szCs w:val="32"/>
          <w:lang w:bidi="ar-SA"/>
        </w:rPr>
        <w:t xml:space="preserve">  </w:t>
      </w:r>
      <w:r>
        <w:rPr>
          <w:rFonts w:ascii="Times New Roman" w:eastAsia="仿宋_GB2312" w:hAnsi="Times New Roman" w:hint="eastAsia"/>
          <w:color w:val="000000"/>
          <w:kern w:val="2"/>
          <w:sz w:val="32"/>
          <w:szCs w:val="32"/>
        </w:rPr>
        <w:t>决策承办单位应当对专家、专业机构的论证意见归类整理、研究论证，充分采纳合理意见，完善决策草案。</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专家论证意见认为在专业、技术上不可行的，承办单位应当及时向市人民政府汇报，并根据情况提出调整决策草案、暂缓讨论决定或者不予讨论决定的建议。</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p>
    <w:p>
      <w:pPr>
        <w:widowControl w:val="0"/>
        <w:numPr>
          <w:ilvl w:val="0"/>
          <w:numId w:val="1"/>
        </w:numPr>
        <w:tabs>
          <w:tab w:val="left" w:pos="1283"/>
        </w:tabs>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风险评估</w:t>
      </w:r>
    </w:p>
    <w:p>
      <w:pPr>
        <w:widowControl w:val="0"/>
        <w:adjustRightInd w:val="0"/>
        <w:snapToGrid w:val="0"/>
        <w:spacing w:line="560" w:lineRule="exact"/>
        <w:jc w:val="center"/>
        <w:rPr>
          <w:rFonts w:ascii="Times New Roman" w:eastAsia="方正楷体_GBK" w:hAnsi="Times New Roman"/>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第三十一条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重大行政决策的实施可能对社会稳定、公共安全、生态环境、财政金融等方面造成不利影响的，决策承办单位或者负责风险评估工作的其他单位应当根据决策事项的具体内容，组织评估决策草案的风险可控性。</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社会稳定风险评估对可能引发的社会矛盾纠纷、群体性事件或者其他不稳定因素、指标、等级予以评估，并提出相关意见和建议。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公共安全风险评估对可能造成的人身伤害、财产损害或者其他较大社会治安隐患等情况进行分析评估，并提出相关意见和建议。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生态环境风险评估对可能造成的生态环境影响进行分析、预测和评估，并提出预防或者减轻不良生态环境影响的对策和措施。</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财政金融风险评估对财政承受力、经济损失、预期效益等情况进行分析、预测和评估，并提出相关意见和建议。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按照有关规定已对有关风险进行评价、评估的，不作重复评估。风险评估可以结合公众参与、专家论证、合法性审查等工作同步组织。</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第三十二条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市人民政府按照规定指定有关部门或者机构作为风险评估主体。</w:t>
      </w:r>
    </w:p>
    <w:p>
      <w:pPr>
        <w:widowControl w:val="0"/>
        <w:adjustRightInd w:val="0"/>
        <w:snapToGrid w:val="0"/>
        <w:spacing w:line="560" w:lineRule="exact"/>
        <w:ind w:firstLineChars="200" w:firstLine="640"/>
        <w:jc w:val="both"/>
        <w:rPr>
          <w:rFonts w:ascii="Times New Roman" w:eastAsia="黑体" w:cs="黑体" w:hAnsi="Times New Roman"/>
          <w:color w:val="000000"/>
          <w:kern w:val="2"/>
          <w:sz w:val="32"/>
          <w:szCs w:val="32"/>
          <w:lang w:bidi="ar-SA"/>
        </w:rPr>
      </w:pPr>
      <w:r>
        <w:rPr>
          <w:rFonts w:ascii="Times New Roman" w:eastAsia="仿宋_GB2312" w:hAnsi="Times New Roman" w:hint="eastAsia"/>
          <w:color w:val="000000"/>
          <w:kern w:val="2"/>
          <w:sz w:val="32"/>
          <w:szCs w:val="32"/>
        </w:rPr>
        <w:t>决策承办单位可以委托有关专业机构、社会组织等无利害关系的第三方开展风险评估，评估费用由决策承办单位纳入财政预算。　</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第三十三条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风险评估应当按照下列程序进行：</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（一）制定评估工作方案。明确评估目的、评估对象与内容、评估标准、评估步骤与方法等；</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（二）充分听取意见。采取舆情跟踪、重点走访、会商分析、座谈咨询、问卷调查、数据分析等方式充分听取利益相关方和社会公众的意见；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全面分析论证。对收集的相关资料组织有关部门和专家进行综合分析研究，全面查找风险源、风险点，运用定性分析和定量分析等方法，从合法性、合理性、可行性、可控性等方面，对决策引发的各种风险进行科学预测、综合研判；</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（四）确定风险可控程度。根据评估情况确定相应风险可控程度；</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（五）形成评估报告。风险评估报告包括评估事项和评估过程、各方意见及其采纳情况、决策可能引发风险等级、评估结论和对策建议、风险防范措施和处置预案等内容。</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第三十四条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风险评估结果应当作为重大行政决策的重要依据。</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对于重大行政决策事项风险可控的，市人民政府可以作出决策；对于风险不可控的，决策承办单位应当及时向市人民政府汇报，在采取调整决策草案等措施确保风险可控后，市人民政府可以作出决策。</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p>
    <w:p>
      <w:pPr>
        <w:widowControl w:val="0"/>
        <w:numPr>
          <w:ilvl w:val="0"/>
          <w:numId w:val="1"/>
        </w:numPr>
        <w:tabs>
          <w:tab w:val="left" w:pos="1283"/>
        </w:tabs>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合法性审查</w:t>
      </w:r>
    </w:p>
    <w:p>
      <w:pPr>
        <w:widowControl w:val="0"/>
        <w:adjustRightInd w:val="0"/>
        <w:snapToGrid w:val="0"/>
        <w:spacing w:line="560" w:lineRule="exact"/>
        <w:jc w:val="center"/>
        <w:rPr>
          <w:rFonts w:ascii="Times New Roman" w:eastAsia="方正楷体_GBK" w:cs="黑体" w:hAnsi="Times New Roman"/>
          <w:color w:val="000000"/>
          <w:kern w:val="2"/>
          <w:sz w:val="32"/>
          <w:szCs w:val="32"/>
          <w:lang w:bidi="ar-SA"/>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第三十五条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决策草案提请市人民政府讨论前，应当进行合法性审查。不得以征求意见、会签、参加审议等方式代替合法性审查。</w:t>
      </w:r>
      <w:r>
        <w:rPr>
          <w:rFonts w:ascii="Times New Roman" w:eastAsia="仿宋_GB2312" w:hAnsi="Times New Roman"/>
          <w:color w:val="000000"/>
          <w:kern w:val="2"/>
          <w:sz w:val="32"/>
          <w:szCs w:val="32"/>
        </w:rPr>
        <w:t xml:space="preserve">      </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决策草案未经合法性审查或者经审查不合法的，不得提请市人民政府讨论。对国家尚无明确规定的探索性改革决策事项，可以明示法律风险，提交市人民政府讨论。</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第三十六条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决策草案转交市司法局进行合法性审查时，决策承办单位应当提交以下材料：</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（一）决策事项草案及起草说明；</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（二）决策承办单位的合法性初审意见；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（三）决策事项所依据的法律、法规、规章和政策规定；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（四）征求有关职能部门和单位意见及其意见采纳情况；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（五）公众意见和专家论证意见的研究采纳情况、风险评估报告或者未履行公众参与、专家论证、风险评估程序的说明；</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（六）根据审查需要，市司法局要求决策承办单位提供的其他相关材料。</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提供的材料不符合要求的，可以退回或者要求补充。</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决策承办单位送请合法性审查，应当保证必要的审查时间，一般不少于</w:t>
      </w:r>
      <w:r>
        <w:rPr>
          <w:rFonts w:ascii="Times New Roman" w:eastAsia="仿宋_GB2312" w:cs="方正仿宋_GBK" w:hAnsi="Times New Roman"/>
          <w:color w:val="000000"/>
          <w:kern w:val="2"/>
          <w:sz w:val="32"/>
          <w:szCs w:val="32"/>
          <w:lang w:bidi="ar-SA"/>
        </w:rPr>
        <w:t>7</w:t>
      </w:r>
      <w:r>
        <w:rPr>
          <w:rFonts w:ascii="Times New Roman" w:eastAsia="仿宋_GB2312" w:hAnsi="Times New Roman" w:hint="eastAsia"/>
          <w:color w:val="000000"/>
          <w:kern w:val="2"/>
          <w:sz w:val="32"/>
          <w:szCs w:val="32"/>
        </w:rPr>
        <w:t>个工作日。</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第三十七条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合法性审查可以采取书面审查、要求决策承办单位解释说明、组织专家咨询或者论证等方式进行。市司法局组织政府法律顾问、公职律师提出法律意见。政府法律顾问、公职律师与决策事项有利害关系的，应当主动回避。</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第三十八条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合法性审查的内容包括：</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（一）决策事项是否属于法定权限范围；</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（二）决策草案拟订过程是否符合法定程序；</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（三）决策草案内容是否符合有关法律、法规、规章和国家政策的规定；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（四）其他依法需要审核的内容。</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第三十九条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市司法局根据审查情况，及时提出重大行政决策合法性审查意见，并对合法性审查意见负责。</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决策承办单位应当对合法性审查意见进行研究，根据合法性审查意见对决策草案作相应修改。</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　　</w:t>
      </w:r>
    </w:p>
    <w:p>
      <w:pPr>
        <w:widowControl w:val="0"/>
        <w:adjustRightInd w:val="0"/>
        <w:snapToGrid w:val="0"/>
        <w:spacing w:line="560" w:lineRule="exact"/>
        <w:jc w:val="center"/>
        <w:rPr>
          <w:rFonts w:ascii="黑体" w:eastAsia="黑体" w:hint="eastAsia"/>
          <w:color w:val="000000"/>
          <w:kern w:val="2"/>
          <w:sz w:val="32"/>
          <w:szCs w:val="32"/>
        </w:rPr>
      </w:pPr>
      <w:r>
        <w:rPr>
          <w:rFonts w:ascii="黑体" w:eastAsia="黑体" w:cs="黑体" w:hint="eastAsia"/>
          <w:color w:val="000000"/>
          <w:kern w:val="2"/>
          <w:sz w:val="32"/>
          <w:szCs w:val="32"/>
          <w:lang w:bidi="ar-SA"/>
        </w:rPr>
        <w:t>第八章</w:t>
      </w:r>
      <w:r>
        <w:rPr>
          <w:rFonts w:ascii="黑体" w:eastAsia="黑体" w:hint="eastAsia"/>
          <w:color w:val="000000"/>
          <w:kern w:val="2"/>
          <w:sz w:val="32"/>
          <w:szCs w:val="32"/>
        </w:rPr>
        <w:t xml:space="preserve">  </w:t>
      </w:r>
      <w:r>
        <w:rPr>
          <w:rFonts w:ascii="黑体" w:eastAsia="黑体" w:cs="黑体" w:hint="eastAsia"/>
          <w:color w:val="000000"/>
          <w:kern w:val="2"/>
          <w:sz w:val="32"/>
          <w:szCs w:val="32"/>
          <w:lang w:bidi="ar-SA"/>
        </w:rPr>
        <w:t>集体讨论决定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第四十条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决策承办单位提请市人民政府讨论决策草案，应当报送下列材料：</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（一）决策草案及相关材料，决策草案涉及市场主体经济活动的，应当包含公平竞争审查的有关情况；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（二）履行公众参与程序的，同时报送社会公众提出的主要意见的研究采纳情况；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（三）履行专家论证程序的，同时报送专家论证意见的研究采纳情况；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（四）履行风险评估程序的，同时报送风险评估报告等有关材料；</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（五）合法性审查意见；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（六）需要报送的其他材料。</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第四十一条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决策草案应当经市人民政府常务会议或者全体会议审议。市长在集体讨论的基础上作出决定。</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讨论决策草案，会议组成人员应当充分发表意见，市长最后发表意见。市长拟作出的决定与会议组成人员多数人的意见不一致的，应当在会上说明理由。</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集体讨论决定情况应当如实记录，不同意见应当如实载明。</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黑体" w:eastAsia="黑体" w:hint="eastAsia"/>
          <w:color w:val="000000"/>
          <w:kern w:val="2"/>
          <w:sz w:val="32"/>
          <w:szCs w:val="32"/>
        </w:rPr>
        <w:t>第四十二条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市人民政府审议决策草案，可以邀请同级人大常委会、政协派员列席会议，也可以根据需要邀请利益相关方、公众代表、专家、媒体、基层群众自治组织等旁听会议。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黑体" w:eastAsia="黑体" w:hint="eastAsia"/>
          <w:color w:val="000000"/>
          <w:kern w:val="2"/>
          <w:sz w:val="32"/>
          <w:szCs w:val="32"/>
        </w:rPr>
        <w:t xml:space="preserve">第四十三条  </w:t>
      </w:r>
      <w:r>
        <w:rPr>
          <w:rFonts w:ascii="Times New Roman" w:eastAsia="仿宋_GB2312" w:hAnsi="Times New Roman" w:hint="eastAsia"/>
          <w:color w:val="000000"/>
          <w:kern w:val="2"/>
          <w:sz w:val="32"/>
          <w:szCs w:val="32"/>
        </w:rPr>
        <w:t>决策草案暂缓审议或者修改后再次提请审议的，期限一般不超过</w:t>
      </w:r>
      <w:r>
        <w:rPr>
          <w:rFonts w:ascii="Times New Roman" w:eastAsia="仿宋_GB2312" w:hAnsi="Times New Roman"/>
          <w:color w:val="000000"/>
          <w:kern w:val="2"/>
          <w:sz w:val="32"/>
          <w:szCs w:val="32"/>
        </w:rPr>
        <w:t>1</w:t>
      </w:r>
      <w:r>
        <w:rPr>
          <w:rFonts w:ascii="Times New Roman" w:eastAsia="仿宋_GB2312" w:hAnsi="Times New Roman" w:hint="eastAsia"/>
          <w:color w:val="000000"/>
          <w:kern w:val="2"/>
          <w:sz w:val="32"/>
          <w:szCs w:val="32"/>
        </w:rPr>
        <w:t>年；超过期限未再次提请审议的，终止决策程序。</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黑体" w:eastAsia="黑体" w:hint="eastAsia"/>
          <w:color w:val="000000"/>
          <w:kern w:val="2"/>
          <w:sz w:val="32"/>
          <w:szCs w:val="32"/>
        </w:rPr>
        <w:t xml:space="preserve">第四十四条  </w:t>
      </w:r>
      <w:r>
        <w:rPr>
          <w:rFonts w:ascii="仿宋_GB2312" w:eastAsia="仿宋_GB2312" w:hint="eastAsia"/>
          <w:color w:val="000000"/>
          <w:kern w:val="2"/>
          <w:sz w:val="32"/>
          <w:szCs w:val="32"/>
        </w:rPr>
        <w:t>市人民政府重大行政</w:t>
      </w:r>
      <w:r>
        <w:rPr>
          <w:rFonts w:ascii="Times New Roman" w:eastAsia="仿宋_GB2312" w:hAnsi="Times New Roman" w:hint="eastAsia"/>
          <w:color w:val="000000"/>
          <w:kern w:val="2"/>
          <w:sz w:val="32"/>
          <w:szCs w:val="32"/>
        </w:rPr>
        <w:t>决策出台前，需要向市委、市人大及其常委会、上级行政机关请示报告的，按照有关规定报告。</w:t>
      </w:r>
    </w:p>
    <w:p>
      <w:pPr>
        <w:widowControl w:val="0"/>
        <w:adjustRightInd w:val="0"/>
        <w:snapToGrid w:val="0"/>
        <w:spacing w:line="560" w:lineRule="exact"/>
        <w:jc w:val="center"/>
        <w:rPr>
          <w:rFonts w:ascii="Times New Roman" w:eastAsia="方正楷体_GBK" w:cs="黑体" w:hAnsi="Times New Roman"/>
          <w:color w:val="000000"/>
          <w:kern w:val="2"/>
          <w:sz w:val="32"/>
          <w:szCs w:val="32"/>
          <w:lang w:bidi="ar-SA"/>
        </w:rPr>
      </w:pPr>
    </w:p>
    <w:p>
      <w:pPr>
        <w:widowControl w:val="0"/>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第九章　决策公布、执行和调整</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第四十五条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重大行政决策通过政府公报、政府网站以及市级新闻媒体及时公布。对社会公众普遍关心或者专业性、技术性较强的重大行政决策，一并说明公众意见、专家论证意见的采纳情况，通过新闻发布会、接受访谈等方式进行宣传解读。依法不予公开的除外。</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第四十六条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市人民政府办公室应当建立健全重大行政决策过程记录和材料归档管理制度。</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决策承办单位及有关部门应当按照档案法律、法规的规定将履行决策程序形成的记录、材料及时完整归档。</w:t>
      </w:r>
    </w:p>
    <w:p>
      <w:pPr>
        <w:widowControl w:val="0"/>
        <w:adjustRightInd w:val="0"/>
        <w:snapToGrid w:val="0"/>
        <w:spacing w:line="560" w:lineRule="exact"/>
        <w:ind w:firstLineChars="200" w:firstLine="640"/>
        <w:jc w:val="both"/>
        <w:rPr>
          <w:rFonts w:ascii="仿宋_GB2312" w:eastAsia="仿宋_GB2312" w:cs="仿宋_GB2312" w:hint="eastAsia"/>
          <w:color w:val="000000"/>
          <w:sz w:val="32"/>
          <w:szCs w:val="32"/>
          <w:shd w:val="clear" w:color="auto" w:fill="FFFFFF"/>
          <w:lang w:bidi="ar-SA"/>
        </w:rPr>
      </w:pPr>
      <w:r>
        <w:rPr>
          <w:rFonts w:ascii="Times New Roman" w:eastAsia="黑体" w:cs="黑体" w:hAnsi="Times New Roman" w:hint="eastAsia"/>
          <w:color w:val="000000"/>
          <w:kern w:val="2"/>
          <w:sz w:val="32"/>
          <w:szCs w:val="32"/>
          <w:lang w:bidi="ar-SA"/>
        </w:rPr>
        <w:t>第四十七条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重大行政</w:t>
      </w:r>
      <w:r>
        <w:rPr>
          <w:rFonts w:ascii="仿宋_GB2312" w:eastAsia="仿宋_GB2312" w:cs="仿宋_GB2312" w:hint="eastAsia"/>
          <w:color w:val="000000"/>
          <w:sz w:val="32"/>
          <w:szCs w:val="32"/>
          <w:shd w:val="clear" w:color="auto" w:fill="FFFFFF"/>
          <w:lang w:bidi="ar-SA"/>
        </w:rPr>
        <w:t>决策事项通过后，由市人民政府确定的单位负责组织执行。</w:t>
      </w:r>
    </w:p>
    <w:p>
      <w:pPr>
        <w:widowControl w:val="0"/>
        <w:adjustRightInd w:val="0"/>
        <w:snapToGrid w:val="0"/>
        <w:spacing w:line="560"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kern w:val="2"/>
          <w:sz w:val="32"/>
          <w:szCs w:val="32"/>
        </w:rPr>
        <w:t>决策执行单位应当全面、及时、正确执行重大行政决策，制定具体方案，跟踪执行效果，确保决策执行的质量和进度，并向市人民政府报告执行情况。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第四十八条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依法作出的重大行政决策，未经法定程序不得随意变更或者停止执行。</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执行单位发现重大行政决策存在问题、客观情况发生重大变化，或者决策执行中发生不可抗力等严重影响决策目标实现的，应当及时向市人民政府报告。情况紧急的，市长可以先决定中止执行；需要作出重大调整的，应当依法履行相关法定程序。</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公民、法人或者其他组织认为重大行政决策及其实施存在问题的，可以通过信件、电话、电子邮件等方式向市人民政府或者决策执行单位提出意见建议。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第四十九条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有下列情形之一的，市人民政府可以组织决策后评估，并确定承担评估具体工作的单位：</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（一）重大行政决策实施后明显未达到预期效果的；</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（二）公民、法人或者其他组织提出较多意见的；</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（三）其他有必要的情形。</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开展决策后评估，可以委托专业机构、社会组织等第三方进行，决策作出前承担主要论证评估工作的单位除外。</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开展决策后评估，应当注重听取社会公众的意见，吸收人大代表、政协委员、人民团体、基层组织、社会组织参与评估。</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决策后评估，应当形成决策后评估报告。决策后评估报告主要包括以下内容：</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（一）决策执行的基本情况；</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（二）决策执行的成本与效益分析；</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（三）社会公众和决策利益相关主体的评价意见；</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（四）决策执行中存在的主要问题以及相关建议；</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（五）评估结论；</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（六）需要说明的其他问题。</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rPr>
        <w:t>决策后评估结果应当作为调整重大行政决策的重要依据。</w:t>
      </w:r>
    </w:p>
    <w:p>
      <w:pPr>
        <w:widowControl w:val="0"/>
        <w:adjustRightInd w:val="0"/>
        <w:snapToGrid w:val="0"/>
        <w:spacing w:line="560" w:lineRule="exact"/>
        <w:jc w:val="center"/>
        <w:rPr>
          <w:rFonts w:ascii="Times New Roman" w:eastAsia="方正楷体_GBK" w:cs="黑体" w:hAnsi="Times New Roman"/>
          <w:color w:val="000000"/>
          <w:kern w:val="2"/>
          <w:sz w:val="32"/>
          <w:szCs w:val="32"/>
          <w:lang w:bidi="ar-SA"/>
        </w:rPr>
      </w:pPr>
    </w:p>
    <w:p>
      <w:pPr>
        <w:widowControl w:val="0"/>
        <w:adjustRightInd w:val="0"/>
        <w:snapToGrid w:val="0"/>
        <w:spacing w:line="560" w:lineRule="exact"/>
        <w:jc w:val="center"/>
        <w:rPr>
          <w:rFonts w:ascii="黑体" w:eastAsia="黑体" w:cs="黑体" w:hint="eastAsia"/>
          <w:color w:val="000000"/>
          <w:kern w:val="2"/>
          <w:sz w:val="32"/>
          <w:szCs w:val="32"/>
          <w:lang w:bidi="ar-SA"/>
        </w:rPr>
      </w:pPr>
      <w:r>
        <w:rPr>
          <w:rFonts w:ascii="黑体" w:eastAsia="黑体" w:cs="黑体" w:hint="eastAsia"/>
          <w:color w:val="000000"/>
          <w:kern w:val="2"/>
          <w:sz w:val="32"/>
          <w:szCs w:val="32"/>
          <w:lang w:bidi="ar-SA"/>
        </w:rPr>
        <w:t>第十章　法律责任</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第五十一条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市人民政府违反相关规定的，将依据《重大行政决策程序暂行条例》《江苏省重大行政决策程序实施办法》等规定依法承担责任。</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第五十二条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决策承办单位或者承担决策有关工作的单位未按照规定履行决策程序或者履行决策程序时失职渎职、弄虚作假的，由市人民政府责令改正，对负有责任的领导人员和直接责任人员依法追究责任。</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第五十三条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决策执行单位拒不执行、推诿执行、拖延执行重大行政决策，或者对执行中发现的重大问题瞒报、谎报或者漏报的，由市人民政府责令改正，对负有责任的领导人员和直接责任人员依法追究责任。</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第五十四条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承担论证评估工作的专家、专业机构、社会组织等违反职业道德和相关规定的，予以通报批评、责令限期整改；造成严重后果的，取消评估资格、承担相应责任。</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第五十五条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有关人员在决策过程中违反保密规定的，依法追究责任。</w:t>
      </w: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p>
    <w:p>
      <w:pPr>
        <w:widowControl w:val="0"/>
        <w:adjustRightInd w:val="0"/>
        <w:snapToGrid w:val="0"/>
        <w:spacing w:line="560" w:lineRule="exact"/>
        <w:jc w:val="center"/>
        <w:rPr>
          <w:rFonts w:ascii="Times New Roman" w:eastAsia="黑体" w:cs="黑体" w:hAnsi="Times New Roman"/>
          <w:color w:val="000000"/>
          <w:kern w:val="2"/>
          <w:sz w:val="32"/>
          <w:szCs w:val="32"/>
          <w:lang w:bidi="ar-SA"/>
        </w:rPr>
      </w:pPr>
      <w:r>
        <w:rPr>
          <w:rFonts w:ascii="Times New Roman" w:eastAsia="黑体" w:cs="黑体" w:hAnsi="Times New Roman" w:hint="eastAsia"/>
          <w:color w:val="000000"/>
          <w:kern w:val="2"/>
          <w:sz w:val="32"/>
          <w:szCs w:val="32"/>
          <w:lang w:bidi="ar-SA"/>
        </w:rPr>
        <w:t>第十一章</w:t>
      </w:r>
      <w:r>
        <w:rPr>
          <w:rFonts w:ascii="Times New Roman" w:eastAsia="仿宋_GB2312" w:hAnsi="Times New Roman"/>
          <w:color w:val="000000"/>
          <w:kern w:val="2"/>
          <w:sz w:val="32"/>
          <w:szCs w:val="32"/>
        </w:rPr>
        <w:t xml:space="preserve">  </w:t>
      </w:r>
      <w:r>
        <w:rPr>
          <w:rFonts w:ascii="Times New Roman" w:eastAsia="黑体" w:cs="黑体" w:hAnsi="Times New Roman" w:hint="eastAsia"/>
          <w:color w:val="000000"/>
          <w:kern w:val="2"/>
          <w:sz w:val="32"/>
          <w:szCs w:val="32"/>
          <w:lang w:bidi="ar-SA"/>
        </w:rPr>
        <w:t>附</w:t>
      </w:r>
      <w:r>
        <w:rPr>
          <w:rFonts w:ascii="Times New Roman" w:eastAsia="黑体" w:cs="黑体" w:hAnsi="Times New Roman"/>
          <w:color w:val="000000"/>
          <w:kern w:val="2"/>
          <w:sz w:val="32"/>
          <w:szCs w:val="32"/>
          <w:lang w:bidi="ar-SA"/>
        </w:rPr>
        <w:t xml:space="preserve">  </w:t>
      </w:r>
      <w:r>
        <w:rPr>
          <w:rFonts w:ascii="Times New Roman" w:eastAsia="黑体" w:cs="黑体" w:hAnsi="Times New Roman" w:hint="eastAsia"/>
          <w:color w:val="000000"/>
          <w:kern w:val="2"/>
          <w:sz w:val="32"/>
          <w:szCs w:val="32"/>
          <w:lang w:bidi="ar-SA"/>
        </w:rPr>
        <w:t>则</w:t>
      </w:r>
    </w:p>
    <w:p>
      <w:pPr>
        <w:widowControl w:val="0"/>
        <w:adjustRightInd w:val="0"/>
        <w:snapToGrid w:val="0"/>
        <w:spacing w:line="560" w:lineRule="exact"/>
        <w:jc w:val="center"/>
        <w:rPr>
          <w:rFonts w:ascii="Times New Roman" w:eastAsia="黑体" w:cs="黑体" w:hAnsi="Times New Roman"/>
          <w:color w:val="000000"/>
          <w:kern w:val="2"/>
          <w:sz w:val="32"/>
          <w:szCs w:val="32"/>
          <w:lang w:bidi="ar-SA"/>
        </w:rPr>
      </w:pPr>
    </w:p>
    <w:p>
      <w:pPr>
        <w:widowControl w:val="0"/>
        <w:adjustRightInd w:val="0"/>
        <w:snapToGrid w:val="0"/>
        <w:spacing w:line="560" w:lineRule="exact"/>
        <w:ind w:firstLineChars="200" w:firstLine="640"/>
        <w:jc w:val="both"/>
        <w:rPr>
          <w:rFonts w:ascii="Times New Roman" w:eastAsia="仿宋_GB2312" w:hAnsi="Times New Roman"/>
          <w:color w:val="000000"/>
          <w:kern w:val="2"/>
          <w:sz w:val="32"/>
          <w:szCs w:val="32"/>
        </w:rPr>
      </w:pPr>
      <w:r>
        <w:rPr>
          <w:rFonts w:ascii="Times New Roman" w:eastAsia="黑体" w:cs="黑体" w:hAnsi="Times New Roman" w:hint="eastAsia"/>
          <w:color w:val="000000"/>
          <w:kern w:val="2"/>
          <w:sz w:val="32"/>
          <w:szCs w:val="32"/>
          <w:lang w:bidi="ar-SA"/>
        </w:rPr>
        <w:t>第五十六条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市人民政府组成部门、县（区）人民政府及其组成部门、乡镇人民政府（街道办事处）和法律、法规授权行使行政管理职能的组织重大行政决策的作出和调整程序，参照本办法执行。</w:t>
      </w:r>
    </w:p>
    <w:p>
      <w:pPr>
        <w:widowControl w:val="0"/>
        <w:spacing w:line="560" w:lineRule="exact"/>
        <w:ind w:firstLineChars="200" w:firstLine="640"/>
        <w:jc w:val="both"/>
        <w:rPr>
          <w:color w:val="000000"/>
          <w:szCs w:val="32"/>
        </w:rPr>
      </w:pPr>
      <w:r>
        <w:rPr>
          <w:rFonts w:ascii="Times New Roman" w:eastAsia="黑体" w:cs="黑体" w:hAnsi="Times New Roman" w:hint="eastAsia"/>
          <w:color w:val="000000"/>
          <w:kern w:val="2"/>
          <w:sz w:val="32"/>
          <w:szCs w:val="32"/>
          <w:lang w:bidi="ar-SA"/>
        </w:rPr>
        <w:t>第五十七条</w:t>
      </w:r>
      <w:r>
        <w:rPr>
          <w:rFonts w:ascii="Times New Roman" w:eastAsia="仿宋_GB2312" w:hAnsi="Times New Roman"/>
          <w:color w:val="000000"/>
          <w:kern w:val="2"/>
          <w:sz w:val="32"/>
          <w:szCs w:val="32"/>
        </w:rPr>
        <w:t xml:space="preserve">  </w:t>
      </w:r>
      <w:r>
        <w:rPr>
          <w:rFonts w:ascii="Times New Roman" w:eastAsia="仿宋_GB2312" w:hAnsi="Times New Roman" w:hint="eastAsia"/>
          <w:color w:val="000000"/>
          <w:kern w:val="2"/>
          <w:sz w:val="32"/>
          <w:szCs w:val="32"/>
        </w:rPr>
        <w:t>本规定自2023年</w:t>
      </w:r>
      <w:r>
        <w:rPr>
          <w:rFonts w:ascii="仿宋_GB2312" w:eastAsia="仿宋_GB2312" w:cs="方正仿宋_GBK" w:hint="eastAsia"/>
          <w:color w:val="000000"/>
          <w:kern w:val="2"/>
          <w:sz w:val="32"/>
          <w:szCs w:val="32"/>
          <w:lang w:bidi="ar-SA"/>
        </w:rPr>
        <w:t>※</w:t>
      </w:r>
      <w:r>
        <w:rPr>
          <w:rFonts w:ascii="Times New Roman" w:eastAsia="仿宋_GB2312" w:hAnsi="Times New Roman" w:hint="eastAsia"/>
          <w:color w:val="000000"/>
          <w:kern w:val="2"/>
          <w:sz w:val="32"/>
          <w:szCs w:val="32"/>
        </w:rPr>
        <w:t>月</w:t>
      </w:r>
      <w:r>
        <w:rPr>
          <w:rFonts w:ascii="仿宋_GB2312" w:eastAsia="仿宋_GB2312" w:cs="方正仿宋_GBK" w:hint="eastAsia"/>
          <w:color w:val="000000"/>
          <w:kern w:val="2"/>
          <w:sz w:val="32"/>
          <w:szCs w:val="32"/>
          <w:lang w:bidi="ar-SA"/>
        </w:rPr>
        <w:t>※</w:t>
      </w:r>
      <w:r>
        <w:rPr>
          <w:rFonts w:ascii="Times New Roman" w:eastAsia="仿宋_GB2312" w:hAnsi="Times New Roman" w:hint="eastAsia"/>
          <w:color w:val="000000"/>
          <w:kern w:val="2"/>
          <w:sz w:val="32"/>
          <w:szCs w:val="32"/>
        </w:rPr>
        <w:t>日起施行，有效期至</w:t>
      </w:r>
      <w:r>
        <w:rPr>
          <w:rFonts w:ascii="仿宋_GB2312" w:eastAsia="仿宋_GB2312" w:cs="方正仿宋_GBK" w:hint="eastAsia"/>
          <w:color w:val="000000"/>
          <w:kern w:val="2"/>
          <w:sz w:val="32"/>
          <w:szCs w:val="32"/>
          <w:lang w:bidi="ar-SA"/>
        </w:rPr>
        <w:t>※※</w:t>
      </w:r>
      <w:r>
        <w:rPr>
          <w:rFonts w:ascii="Times New Roman" w:eastAsia="仿宋_GB2312" w:hAnsi="Times New Roman" w:hint="eastAsia"/>
          <w:color w:val="000000"/>
          <w:kern w:val="2"/>
          <w:sz w:val="32"/>
          <w:szCs w:val="32"/>
        </w:rPr>
        <w:t>年</w:t>
      </w:r>
      <w:r>
        <w:rPr>
          <w:rFonts w:ascii="仿宋_GB2312" w:eastAsia="仿宋_GB2312" w:cs="方正仿宋_GBK" w:hint="eastAsia"/>
          <w:color w:val="000000"/>
          <w:kern w:val="2"/>
          <w:sz w:val="32"/>
          <w:szCs w:val="32"/>
          <w:lang w:bidi="ar-SA"/>
        </w:rPr>
        <w:t>※</w:t>
      </w:r>
      <w:r>
        <w:rPr>
          <w:rFonts w:ascii="Times New Roman" w:eastAsia="仿宋_GB2312" w:hAnsi="Times New Roman" w:hint="eastAsia"/>
          <w:color w:val="000000"/>
          <w:kern w:val="2"/>
          <w:sz w:val="32"/>
          <w:szCs w:val="32"/>
        </w:rPr>
        <w:t>月</w:t>
      </w:r>
      <w:r>
        <w:rPr>
          <w:rFonts w:ascii="仿宋_GB2312" w:eastAsia="仿宋_GB2312" w:cs="方正仿宋_GBK" w:hint="eastAsia"/>
          <w:color w:val="000000"/>
          <w:kern w:val="2"/>
          <w:sz w:val="32"/>
          <w:szCs w:val="32"/>
          <w:lang w:bidi="ar-SA"/>
        </w:rPr>
        <w:t>※</w:t>
      </w:r>
      <w:r>
        <w:rPr>
          <w:rFonts w:ascii="Times New Roman" w:eastAsia="仿宋_GB2312" w:hAnsi="Times New Roman" w:hint="eastAsia"/>
          <w:color w:val="000000"/>
          <w:kern w:val="2"/>
          <w:sz w:val="32"/>
          <w:szCs w:val="32"/>
        </w:rPr>
        <w:t>日。</w:t>
      </w:r>
    </w:p>
    <w:p>
      <w:pPr>
        <w:rPr>
          <w:color w:val="000000"/>
        </w:rPr>
      </w:pPr>
    </w:p>
    <w:p/>
    <w:sectPr>
      <w:pgSz w:w="11907" w:h="16839"/>
      <w:pgMar w:top="1440" w:right="1800" w:bottom="1440" w:left="1800" w:header="851" w:footer="992" w:gutter="0"/>
      <w:pgNumType/>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方正正黑_GBK">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方正楷体_GBK">
    <w:panose1 w:val="02000000000000000000"/>
    <w:charset w:val="86"/>
    <w:family w:val="script"/>
    <w:pitch w:val="variable"/>
    <w:sig w:usb0="A00002BF" w:usb1="38CF7CFA" w:usb2="00082016" w:usb3="00000000" w:csb0="00040001" w:csb1="00000000"/>
  </w:font>
  <w:font w:name="微软雅黑">
    <w:panose1 w:val="020B0503020204020204"/>
    <w:charset w:val="86"/>
    <w:family w:val="auto"/>
    <w:pitch w:val="variable"/>
    <w:sig w:usb0="80000287" w:usb1="280F3C52" w:usb2="00000016" w:usb3="00000000" w:csb0="0004001F" w:csb1="00000000"/>
  </w:font>
  <w:font w:name="Î¢ÈíÑÅºÚ Western">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方正仿宋_GBK">
    <w:panose1 w:val="02000000000000000000"/>
    <w:charset w:val="86"/>
    <w:family w:val="script"/>
    <w:pitch w:val="variable"/>
    <w:sig w:usb0="A00002BF" w:usb1="38CF7CFA" w:usb2="00082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1"/>
    <w:multiLevelType w:val="hybridMultilevel"/>
    <w:tmpl w:val="6D58385A"/>
    <w:lvl w:ilvl="0">
      <w:start w:val="3"/>
      <w:numFmt w:val="japaneseCounting"/>
      <w:lvlRestart w:val="0"/>
      <w:lvlText w:val="第%1章"/>
      <w:lvlJc w:val="left"/>
      <w:pPr>
        <w:tabs>
          <w:tab w:val="num" w:pos="1283"/>
        </w:tabs>
        <w:ind w:left="1283" w:hanging="1283"/>
      </w:pPr>
      <w:rPr>
        <w:rFonts w:cs="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8"/>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0"/>
      <w:position w:val="0"/>
      <w:sz w:val="24"/>
      <w:szCs w:val="21"/>
      <w:u w:val="none" w:color="auto"/>
      <w:bdr w:val="none" w:sz="0" w:space="0"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DE525680-BBF4-4C08-8F46-88C57A81EAF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22</Words>
  <Characters>22</Characters>
  <Lines>2</Lines>
  <Paragraphs>0</Paragraphs>
  <CharactersWithSpaces>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kylin</dc:creator>
  <cp:lastModifiedBy>kylin</cp:lastModifiedBy>
  <cp:revision>1</cp:revision>
  <dcterms:created xsi:type="dcterms:W3CDTF">2023-03-29T00:47:27Z</dcterms:created>
  <dcterms:modified xsi:type="dcterms:W3CDTF">2023-03-29T00:47:44Z</dcterms:modified>
</cp:coreProperties>
</file>