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CBC" w:rsidRDefault="007F0976">
      <w:pPr>
        <w:spacing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连云港市涉企行政检查条例</w:t>
      </w:r>
    </w:p>
    <w:p w:rsidR="00EC19E5" w:rsidRPr="00EC19E5" w:rsidRDefault="00EC19E5">
      <w:pPr>
        <w:spacing w:line="560" w:lineRule="exact"/>
        <w:jc w:val="center"/>
        <w:rPr>
          <w:rFonts w:ascii="楷体_GB2312" w:eastAsia="楷体_GB2312" w:hAnsi="方正小标宋_GBK" w:cs="方正小标宋_GBK"/>
          <w:sz w:val="32"/>
          <w:szCs w:val="32"/>
        </w:rPr>
      </w:pPr>
      <w:r w:rsidRPr="00EC19E5">
        <w:rPr>
          <w:rFonts w:ascii="楷体_GB2312" w:eastAsia="楷体_GB2312" w:hAnsi="方正小标宋_GBK" w:cs="方正小标宋_GBK" w:hint="eastAsia"/>
          <w:sz w:val="32"/>
          <w:szCs w:val="32"/>
        </w:rPr>
        <w:t>（草案征求意见稿）</w:t>
      </w:r>
    </w:p>
    <w:p w:rsidR="00026CBC" w:rsidRDefault="00026CBC">
      <w:pPr>
        <w:spacing w:line="560" w:lineRule="exact"/>
        <w:jc w:val="center"/>
        <w:rPr>
          <w:rFonts w:ascii="方正黑体_GBK" w:eastAsia="方正黑体_GBK" w:hAnsi="方正黑体_GBK" w:cs="方正黑体_GBK"/>
          <w:sz w:val="32"/>
          <w:szCs w:val="32"/>
        </w:rPr>
      </w:pPr>
    </w:p>
    <w:p w:rsidR="00026CBC" w:rsidRDefault="007F0976">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第一章 总  则</w:t>
      </w:r>
    </w:p>
    <w:p w:rsidR="00026CBC" w:rsidRDefault="00026CBC">
      <w:pPr>
        <w:spacing w:line="560" w:lineRule="exact"/>
        <w:jc w:val="center"/>
        <w:rPr>
          <w:rFonts w:ascii="方正黑体_GBK" w:eastAsia="方正黑体_GBK" w:hAnsi="方正黑体_GBK" w:cs="方正黑体_GBK"/>
          <w:sz w:val="32"/>
          <w:szCs w:val="32"/>
        </w:rPr>
      </w:pP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第一条【立法目的和依据】</w:t>
      </w:r>
      <w:r>
        <w:rPr>
          <w:rFonts w:ascii="方正仿宋_GBK" w:eastAsia="方正仿宋_GBK" w:hAnsi="方正仿宋_GBK" w:cs="方正仿宋_GBK" w:hint="eastAsia"/>
          <w:sz w:val="32"/>
          <w:szCs w:val="32"/>
        </w:rPr>
        <w:t>为了规范涉企行政检查，促进严格规范公正文明执法，保护企业合法权益，优化法治化营商环境，服务保障高质量发展，根据《中华人民共和国民营经济促进法》、《优化营商环境条例》、《行政执法监督条例》、《江苏省行政程序条例》等法律、法规，结合本市实际，制定本条例。</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第二条【适用范围】</w:t>
      </w:r>
      <w:r>
        <w:rPr>
          <w:rFonts w:ascii="方正仿宋_GBK" w:eastAsia="方正仿宋_GBK" w:hAnsi="方正仿宋_GBK" w:cs="方正仿宋_GBK" w:hint="eastAsia"/>
          <w:sz w:val="32"/>
          <w:szCs w:val="32"/>
        </w:rPr>
        <w:t>本市行政区域内行政检查主体对企业实施的行政检查活动适用本条例。法律、法规另有规定的，从其规定。</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条例所称行政检查是指行政检查主体为履行行政管理职责，对企业遵守法律、法规、规章和执行有关行政决定、命令的情况进行巡查、核验的活动，是行政许可、行政处罚、行政强制、行政备案、行政征收征用、行政给付等的过程性行为。</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本条例所称企业，包括有限责任公司、股份有限公司、个人独资企业和其他企业等，不包括事业单位、社会团体、基金会、社会服务机构等。</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对个体工商户、个人合伙、农民专业合作社等经营主体的行政检查参照本条例执行。</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lastRenderedPageBreak/>
        <w:t>第三条【管理原则和指导性要求】</w:t>
      </w:r>
      <w:r>
        <w:rPr>
          <w:rFonts w:ascii="方正仿宋_GBK" w:eastAsia="方正仿宋_GBK" w:hAnsi="方正仿宋_GBK" w:cs="方正仿宋_GBK" w:hint="eastAsia"/>
          <w:sz w:val="32"/>
          <w:szCs w:val="32"/>
        </w:rPr>
        <w:t>行政检查遵循依法实施、权利保障，严格规范、公正文明，统筹协同、透明高效，宽严相济、合理适当的原则。行政检查应当坚持客观必要、无事不扰，禁止随意检查、变相检查；坚持分类管理、包容审慎，实行差异化精准监管；坚持优化服务、合规指导，更多采用柔性方式引导企业依法经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除有法定依据外，不得将行政检查作为行政许可、行政给付等行政行为的前提条件，不得因行政检查结果影响企业平等享受相关支持政策和保障措施。</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第四条【政府和部门责任】</w:t>
      </w:r>
      <w:r>
        <w:rPr>
          <w:rFonts w:ascii="方正仿宋_GBK" w:eastAsia="方正仿宋_GBK" w:hAnsi="方正仿宋_GBK" w:cs="方正仿宋_GBK" w:hint="eastAsia"/>
          <w:sz w:val="32"/>
          <w:szCs w:val="32"/>
        </w:rPr>
        <w:t>市、县（区）人民政府应当加强对行政检查工作的组织领导和监督检查，制定行政检查制度，协调各级各类检查统筹实施，建立健全跨层级、跨领域、跨部门协同机制，研究解决行政检查实施中的重大问题。</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市、县（区）司法行政部门具体负责行政检查活动的协调、监督和指导。</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市、县（区）数据部门应当加强行政检查数据平台建设，推动行政检查数据全流程平台运行，为行政检查监督、管理提供数据共享渠道。</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各级行政检查主体依法履行行政检查职责。市级行政检查主体应当加强对县级行政检查主体行政检查工作的指导，依照职权统筹协调本领域、本系统行政检查有关事项，推进检查工作标准化、规范化。</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第五条【实施依据】</w:t>
      </w:r>
      <w:r>
        <w:rPr>
          <w:rFonts w:ascii="方正仿宋_GBK" w:eastAsia="方正仿宋_GBK" w:hAnsi="方正仿宋_GBK" w:cs="方正仿宋_GBK" w:hint="eastAsia"/>
          <w:sz w:val="32"/>
          <w:szCs w:val="32"/>
        </w:rPr>
        <w:t>实施行政检查，应当有法律、法规、规章以及国务院决定、命令依据。</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行政规范性文件不得设定行政检查。行政规范性文件依据法律、法规、规章以及国务院决定、命令细化规定行政检查情形、标准和要求的，可以作为行政检查的依据。</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第六条【检查类型】</w:t>
      </w:r>
      <w:r>
        <w:rPr>
          <w:rFonts w:ascii="方正仿宋_GBK" w:eastAsia="方正仿宋_GBK" w:hAnsi="方正仿宋_GBK" w:cs="方正仿宋_GBK" w:hint="eastAsia"/>
          <w:sz w:val="32"/>
          <w:szCs w:val="32"/>
        </w:rPr>
        <w:t>行政检查分为日常检查、个案检查和专项检查。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日常检查是指行政检查主体依据法律规范的要求，对不特定检查对象或者不特定事项实施的例行检查。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个案检查是指行政检查主体根据投诉举报、转办交办、数据监测、企业申请等实施的有线索可查的检查。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专项检查是指行政检查主体根据上级部署安排，统一针对地区或者领域的突出问题，履行批准、备案、公布程序，在本地区或者本系统部署实施的检查。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第七条【检查管辖】</w:t>
      </w:r>
      <w:r>
        <w:rPr>
          <w:rFonts w:ascii="方正仿宋_GBK" w:eastAsia="方正仿宋_GBK" w:hAnsi="方正仿宋_GBK" w:cs="方正仿宋_GBK" w:hint="eastAsia"/>
          <w:sz w:val="32"/>
          <w:szCs w:val="32"/>
        </w:rPr>
        <w:t>行政检查以属地管辖为原则。行政检查主体确需开展异地检查的，应当按照国家和省有关规定组织实施，严禁违规实施异地检查。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法律、法规、规章规定行政检查可以由不同层级行政检查主体实施的，除在本地区有较大影响、跨行政区域或者上级机关指定、交办的外，原则上由法定的最低一级行政检查主体实施。国家和省另有规定的从其规定。</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对新技术、新产业、新业态、新模式等的行政检查主体不明确的，由市人民政府按照“领域归口、业务相近”和“谁审批、谁监管，谁主管、谁监管”的原则确定行政检查主体。</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第八条【保密和移送】</w:t>
      </w:r>
      <w:r>
        <w:rPr>
          <w:rFonts w:ascii="方正仿宋_GBK" w:eastAsia="方正仿宋_GBK" w:hAnsi="方正仿宋_GBK" w:cs="方正仿宋_GBK" w:hint="eastAsia"/>
          <w:sz w:val="32"/>
          <w:szCs w:val="32"/>
        </w:rPr>
        <w:t>行政检查主体及其检查人员对检查中知悉的国家秘密、商业秘密、个人信息等依法负有保密</w:t>
      </w:r>
      <w:r>
        <w:rPr>
          <w:rFonts w:ascii="方正仿宋_GBK" w:eastAsia="方正仿宋_GBK" w:hAnsi="方正仿宋_GBK" w:cs="方正仿宋_GBK" w:hint="eastAsia"/>
          <w:sz w:val="32"/>
          <w:szCs w:val="32"/>
        </w:rPr>
        <w:lastRenderedPageBreak/>
        <w:t>义务，不得泄露、违法公开或者向他人非法提供。</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除涉及国家秘密、商业秘密、个人隐私外，行政检查主体实施行政检查的有关情况，应当与其他有关行政执法主体共享。发现涉及其他行政执法主体管辖的违法线索的，应当按规定及时移送办理。</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第九条【企业监督】</w:t>
      </w:r>
      <w:r>
        <w:rPr>
          <w:rFonts w:ascii="方正仿宋_GBK" w:eastAsia="方正仿宋_GBK" w:hAnsi="方正仿宋_GBK" w:cs="方正仿宋_GBK" w:hint="eastAsia"/>
          <w:sz w:val="32"/>
          <w:szCs w:val="32"/>
        </w:rPr>
        <w:t>鼓励企业通过涉企行政执法诉求沟通机制、政务服务便民热线等渠道对行政检查主体的行政检查行为进行监督，提出意见建议。</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行政检查人员违反规定实施行政检查的，企业有权拒绝，并有权向司法行政部门和行政检查主体投诉举报。司法行政部门和行政检查主体应当畅通投诉举报渠道，依法及时处理并反馈结果。</w:t>
      </w:r>
    </w:p>
    <w:p w:rsidR="00026CBC" w:rsidRDefault="00026CBC">
      <w:pPr>
        <w:spacing w:line="560" w:lineRule="exact"/>
        <w:jc w:val="center"/>
        <w:rPr>
          <w:rFonts w:ascii="方正黑体_GBK" w:eastAsia="方正黑体_GBK" w:hAnsi="方正黑体_GBK" w:cs="方正黑体_GBK"/>
          <w:sz w:val="32"/>
          <w:szCs w:val="32"/>
        </w:rPr>
      </w:pPr>
    </w:p>
    <w:p w:rsidR="00026CBC" w:rsidRDefault="007F0976">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第二章 检查管理</w:t>
      </w:r>
    </w:p>
    <w:p w:rsidR="00026CBC" w:rsidRDefault="00026CBC">
      <w:pPr>
        <w:spacing w:line="560" w:lineRule="exact"/>
        <w:jc w:val="center"/>
        <w:rPr>
          <w:rFonts w:ascii="方正黑体_GBK" w:eastAsia="方正黑体_GBK" w:hAnsi="方正黑体_GBK" w:cs="方正黑体_GBK"/>
          <w:sz w:val="32"/>
          <w:szCs w:val="32"/>
        </w:rPr>
      </w:pP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第十条【检查主体管理】</w:t>
      </w:r>
      <w:r>
        <w:rPr>
          <w:rFonts w:ascii="方正仿宋_GBK" w:eastAsia="方正仿宋_GBK" w:hAnsi="方正仿宋_GBK" w:cs="方正仿宋_GBK" w:hint="eastAsia"/>
          <w:sz w:val="32"/>
          <w:szCs w:val="32"/>
        </w:rPr>
        <w:t>行政检查主体应当具备法定资格。具有行政执法权的行政机关在法定职责范围内实施行政检查；法律、法规授权的具有管理公共事务职能的组织在法定授权范围内实施行政检查；受委托组织在委托范围内实施行政检查。其他任何组织和个人不得实施行政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市、县（区）人民政府应当依法确认行政检查主体资格，明确行政检查主体类别，并向社会公告。</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行政检查主体根据本地实际，可以依法将基层管理、迫切需要的行政检查权委托给乡镇人民政府、街道办事处或者</w:t>
      </w:r>
      <w:r>
        <w:rPr>
          <w:rFonts w:ascii="方正仿宋_GBK" w:eastAsia="方正仿宋_GBK" w:hAnsi="方正仿宋_GBK" w:cs="方正仿宋_GBK" w:hint="eastAsia"/>
          <w:sz w:val="32"/>
          <w:szCs w:val="32"/>
        </w:rPr>
        <w:lastRenderedPageBreak/>
        <w:t>开发区管委会行使。</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行政检查主体根据工作需要，可以邀请检验检测机构、高等院校、专业机构等第三方对行政检查予以协助。</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第十一条【检查事项管理】</w:t>
      </w:r>
      <w:r>
        <w:rPr>
          <w:rFonts w:ascii="方正仿宋_GBK" w:eastAsia="方正仿宋_GBK" w:hAnsi="方正仿宋_GBK" w:cs="方正仿宋_GBK" w:hint="eastAsia"/>
          <w:sz w:val="32"/>
          <w:szCs w:val="32"/>
        </w:rPr>
        <w:t>市级行政检查主体应当按照规定梳理本领域行政检查事项，实行清单化管理并动态调整。</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行政检查事项清单应当逐项列明事项名称、检查依据、实施层级等基本要素，并向社会公布。未经公布的行政检查事项，不得实施。</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第十二条【检查计划管理】</w:t>
      </w:r>
      <w:r>
        <w:rPr>
          <w:rFonts w:ascii="方正仿宋_GBK" w:eastAsia="方正仿宋_GBK" w:hAnsi="方正仿宋_GBK" w:cs="方正仿宋_GBK" w:hint="eastAsia"/>
          <w:sz w:val="32"/>
          <w:szCs w:val="32"/>
        </w:rPr>
        <w:t>行政检查主体应当制定行政检查年度计划，每年三月底前向社会公布，并报同级司法行政部门和上级业务主管部门备案。乡镇人民政府、街道办事处的行政检查计划报县（区）司法行政部门备案。</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“双随机、一公开”和跨部门联合检查计划应当在涉企行政检查年度计划中予以标注。</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第十三条【专项检查管理】</w:t>
      </w:r>
      <w:r>
        <w:rPr>
          <w:rFonts w:ascii="方正仿宋_GBK" w:eastAsia="方正仿宋_GBK" w:hAnsi="方正仿宋_GBK" w:cs="方正仿宋_GBK" w:hint="eastAsia"/>
          <w:sz w:val="32"/>
          <w:szCs w:val="32"/>
        </w:rPr>
        <w:t>行政检查主体针对突出问题部署的专项检查应当符合客观需要，并严格按照要求控制数量、范围、内容和时限。针对本地突出问题开展的区域专项检查应当事先拟订检查计划，经县级以上地方人民政府或者实行垂直管理的上一级行政机关批准后，向社会公布。</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专项检查应当严格按照行政检查的标准、程序实施。</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第十四条【检查标准管理】</w:t>
      </w:r>
      <w:r>
        <w:rPr>
          <w:rFonts w:ascii="方正仿宋_GBK" w:eastAsia="方正仿宋_GBK" w:hAnsi="方正仿宋_GBK" w:cs="方正仿宋_GBK" w:hint="eastAsia"/>
          <w:sz w:val="32"/>
          <w:szCs w:val="32"/>
        </w:rPr>
        <w:t>行政检查主体应当按照国务院有关主管部门公布的行政检查标准开展涉企行政检查。本市地方性法规、政府规章设定的行政检查，由市级相关行政检查主体制定并公布行政检查标准。</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企业发现行政检查标准不合理或者互相冲突的，可以向行政检查主体反映。行政检查主体发现不同领域行政检查标准相互冲突的，可以根据情况暂停实施相关行政检查，并按照规定提请本级政府或者上一级行政机关进行协调处理。</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法律、法规、规章对检查内容、检查对象、检查频次等只作出原则性规定的，市级行政检查主体可以制定行政检查裁量权基准。</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行政检查主体应当参照司法部《行政检查文书基本格式文本》，由市级行政机关负责制定本领域行政检查示范文本。</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第十五条【检查方案管理】</w:t>
      </w:r>
      <w:r>
        <w:rPr>
          <w:rFonts w:ascii="方正仿宋_GBK" w:eastAsia="方正仿宋_GBK" w:hAnsi="方正仿宋_GBK" w:cs="方正仿宋_GBK" w:hint="eastAsia"/>
          <w:sz w:val="32"/>
          <w:szCs w:val="32"/>
        </w:rPr>
        <w:t>行政检查主体实施行政检查前应当制定检查方案，检查方案经行政检查主体负责人批准后方可实施。</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行政检查人员应当按照检查方案实施检查活动。情况紧急，确需立即实施行政检查的，可以先行组织实施，并及时报告、补办手续。</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第十六条【检查频次管理】</w:t>
      </w:r>
      <w:r>
        <w:rPr>
          <w:rFonts w:ascii="方正仿宋_GBK" w:eastAsia="方正仿宋_GBK" w:hAnsi="方正仿宋_GBK" w:cs="方正仿宋_GBK" w:hint="eastAsia"/>
          <w:sz w:val="32"/>
          <w:szCs w:val="32"/>
        </w:rPr>
        <w:t>行政检查主体应当严格执行国家和省公布的同一行政机关对同一企业实施行政检查的年度频次上限。</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市级行政检查主体应当公布本市地方性法规、政府规章设定的行政检查事项的年度检查频次上限，原则上一年不超过二次。</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个案检查可以不受频次上限限制，但不得明显超过合理频次。</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第十七条【执法人员临时调用管理】</w:t>
      </w:r>
      <w:r>
        <w:rPr>
          <w:rFonts w:ascii="方正仿宋_GBK" w:eastAsia="方正仿宋_GBK" w:hAnsi="方正仿宋_GBK" w:cs="方正仿宋_GBK" w:hint="eastAsia"/>
          <w:sz w:val="32"/>
          <w:szCs w:val="32"/>
        </w:rPr>
        <w:t>市级行政检查主体</w:t>
      </w:r>
      <w:r>
        <w:rPr>
          <w:rFonts w:ascii="方正仿宋_GBK" w:eastAsia="方正仿宋_GBK" w:hAnsi="方正仿宋_GBK" w:cs="方正仿宋_GBK" w:hint="eastAsia"/>
          <w:sz w:val="32"/>
          <w:szCs w:val="32"/>
        </w:rPr>
        <w:lastRenderedPageBreak/>
        <w:t>在组织开展重大行政检查活动、跨区域行政检查以及交叉行政检查活动时，经本级司法行政部门同意，可以跨区域、跨层级调用行政检查人员。行政检查人员的行政检查资格在该项工作任务涉及地域范围内互通互认。</w:t>
      </w:r>
    </w:p>
    <w:p w:rsidR="00026CBC" w:rsidRDefault="00026CBC">
      <w:pPr>
        <w:spacing w:line="560" w:lineRule="exact"/>
        <w:jc w:val="center"/>
        <w:rPr>
          <w:rFonts w:ascii="方正黑体_GBK" w:eastAsia="方正黑体_GBK" w:hAnsi="方正黑体_GBK" w:cs="方正黑体_GBK"/>
          <w:sz w:val="32"/>
          <w:szCs w:val="32"/>
        </w:rPr>
      </w:pPr>
    </w:p>
    <w:p w:rsidR="00026CBC" w:rsidRDefault="007F0976">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第三章 综合查一次</w:t>
      </w:r>
    </w:p>
    <w:p w:rsidR="00026CBC" w:rsidRDefault="00026CBC">
      <w:pPr>
        <w:spacing w:line="560" w:lineRule="exact"/>
        <w:jc w:val="center"/>
        <w:rPr>
          <w:rFonts w:ascii="方正黑体_GBK" w:eastAsia="方正黑体_GBK" w:hAnsi="方正黑体_GBK" w:cs="方正黑体_GBK"/>
          <w:sz w:val="32"/>
          <w:szCs w:val="32"/>
        </w:rPr>
      </w:pP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第十八条【实施范围】</w:t>
      </w:r>
      <w:r>
        <w:rPr>
          <w:rFonts w:ascii="方正仿宋_GBK" w:eastAsia="方正仿宋_GBK" w:hAnsi="方正仿宋_GBK" w:cs="方正仿宋_GBK" w:hint="eastAsia"/>
          <w:sz w:val="32"/>
          <w:szCs w:val="32"/>
        </w:rPr>
        <w:t>“综合查一次”行政检查包括合并检查和联合检查。同一行政检查主体同一时期对同一市场主体实施多项现场检查，检查内容可以合并进行的，应当合并检查。不同行政检查主体对同一市场主体进行现场检查，可以实施联合检查的，应当协调组织实施联合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第十九条【部门职责】</w:t>
      </w:r>
      <w:r>
        <w:rPr>
          <w:rFonts w:ascii="方正仿宋_GBK" w:eastAsia="方正仿宋_GBK" w:hAnsi="方正仿宋_GBK" w:cs="方正仿宋_GBK" w:hint="eastAsia"/>
          <w:sz w:val="32"/>
          <w:szCs w:val="32"/>
        </w:rPr>
        <w:t>市、县（区）数据部门负责“综合查一次”工作的统筹协调、推进落实和督促检查。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市、县（区）司法行政部门应当履行行政执法监督职能，加强对“综合查一次”工作的监督指导。</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第二十条【场景清单】</w:t>
      </w:r>
      <w:r>
        <w:rPr>
          <w:rFonts w:ascii="方正仿宋_GBK" w:eastAsia="方正仿宋_GBK" w:hAnsi="方正仿宋_GBK" w:cs="方正仿宋_GBK" w:hint="eastAsia"/>
          <w:sz w:val="32"/>
          <w:szCs w:val="32"/>
        </w:rPr>
        <w:t>市数据部门组织相关行政检查主体，梳理可开展联合检查的事项，形成“综合查一次”场景清单。</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“综合查一次”场景清单应当包含检查对象、检查事项、检查要求、检查频次、牵头部门、参与部门等要素，按年度调整发布。</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县（区）数据部门可以根据市“综合查一次”场景清单，结合实际按年度制定补充清单，报市数据部门审核后发布。</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lastRenderedPageBreak/>
        <w:t>第二十一条【开展检查权限】</w:t>
      </w:r>
      <w:r>
        <w:rPr>
          <w:rFonts w:ascii="方正仿宋_GBK" w:eastAsia="方正仿宋_GBK" w:hAnsi="方正仿宋_GBK" w:cs="方正仿宋_GBK" w:hint="eastAsia"/>
          <w:sz w:val="32"/>
          <w:szCs w:val="32"/>
        </w:rPr>
        <w:t>行政检查主体应当严格对照年度场景清单组织实施检查，除上级另有要求外，不得组织清单外合并检查或者联合检查。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行政检查事项由不同层级行政检查主体联合开展的，牵头行政检查主体可以跨层级组织实施。</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第二十二条【组织检查】</w:t>
      </w:r>
      <w:r>
        <w:rPr>
          <w:rFonts w:ascii="方正仿宋_GBK" w:eastAsia="方正仿宋_GBK" w:hAnsi="方正仿宋_GBK" w:cs="方正仿宋_GBK" w:hint="eastAsia"/>
          <w:sz w:val="32"/>
          <w:szCs w:val="32"/>
        </w:rPr>
        <w:t>联合检查事项的牵头行政检查主体应当会同参与行政检查主体组成联合检查组，在“综合查一次”平台完成任务创建，上传任务来源相关材料后按规定联合实施检查。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第二十三条【检查人员控制】</w:t>
      </w:r>
      <w:r>
        <w:rPr>
          <w:rFonts w:ascii="方正仿宋_GBK" w:eastAsia="方正仿宋_GBK" w:hAnsi="方正仿宋_GBK" w:cs="方正仿宋_GBK" w:hint="eastAsia"/>
          <w:sz w:val="32"/>
          <w:szCs w:val="32"/>
        </w:rPr>
        <w:t>联合检查应当严格控制检查人员数量，原则上检查人员总数不超过八名。联合检查涉及行政检查主体较多的，除牵头行政检查主体外，有关行政检查主体可以只安排一名行政检查人员参加检查，但检查过程中需要调查、核查情况或者收集、固定证据的，应当有联合检查组其他人员共同实施。</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第二十四条【一表通查】</w:t>
      </w:r>
      <w:r>
        <w:rPr>
          <w:rFonts w:ascii="方正仿宋_GBK" w:eastAsia="方正仿宋_GBK" w:hAnsi="方正仿宋_GBK" w:cs="方正仿宋_GBK" w:hint="eastAsia"/>
          <w:sz w:val="32"/>
          <w:szCs w:val="32"/>
        </w:rPr>
        <w:t>本市推行简单事项“一表通查”。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市、县（区）司法行政部门应当结合“综合监管一件事”改革要求，针对“一件事”组织梳理归并检查事项，形成一张综合检查表单，由一个或者多个行政检查主体的一组检查人员完成检查。</w:t>
      </w:r>
    </w:p>
    <w:p w:rsidR="00026CBC" w:rsidRDefault="00026CBC">
      <w:pPr>
        <w:spacing w:line="560" w:lineRule="exact"/>
        <w:ind w:firstLineChars="200" w:firstLine="640"/>
        <w:rPr>
          <w:rFonts w:ascii="方正仿宋_GBK" w:eastAsia="方正仿宋_GBK" w:hAnsi="方正仿宋_GBK" w:cs="方正仿宋_GBK"/>
          <w:sz w:val="32"/>
          <w:szCs w:val="32"/>
        </w:rPr>
      </w:pPr>
    </w:p>
    <w:p w:rsidR="00026CBC" w:rsidRDefault="007F0976">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第四章 检查实施</w:t>
      </w:r>
    </w:p>
    <w:p w:rsidR="00026CBC" w:rsidRDefault="00026CBC">
      <w:pPr>
        <w:spacing w:line="560" w:lineRule="exact"/>
        <w:jc w:val="center"/>
        <w:rPr>
          <w:rFonts w:ascii="方正黑体_GBK" w:eastAsia="方正黑体_GBK" w:hAnsi="方正黑体_GBK" w:cs="方正黑体_GBK"/>
          <w:sz w:val="32"/>
          <w:szCs w:val="32"/>
        </w:rPr>
      </w:pP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第二十五条【扫码入企】</w:t>
      </w:r>
      <w:r>
        <w:rPr>
          <w:rFonts w:ascii="方正仿宋_GBK" w:eastAsia="方正仿宋_GBK" w:hAnsi="方正仿宋_GBK" w:cs="方正仿宋_GBK" w:hint="eastAsia"/>
          <w:sz w:val="32"/>
          <w:szCs w:val="32"/>
        </w:rPr>
        <w:t>本市建设行政执法监督平台，</w:t>
      </w:r>
      <w:r>
        <w:rPr>
          <w:rFonts w:ascii="方正仿宋_GBK" w:eastAsia="方正仿宋_GBK" w:hAnsi="方正仿宋_GBK" w:cs="方正仿宋_GBK" w:hint="eastAsia"/>
          <w:sz w:val="32"/>
          <w:szCs w:val="32"/>
        </w:rPr>
        <w:lastRenderedPageBreak/>
        <w:t>开发“</w:t>
      </w:r>
      <w:r>
        <w:rPr>
          <w:rFonts w:ascii="方正仿宋_GBK" w:eastAsia="方正仿宋_GBK" w:hAnsi="方正仿宋_GBK" w:cs="方正仿宋_GBK"/>
          <w:sz w:val="32"/>
          <w:szCs w:val="32"/>
        </w:rPr>
        <w:t>扫码入企</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小程序</w:t>
      </w:r>
      <w:r>
        <w:rPr>
          <w:rFonts w:ascii="方正仿宋_GBK" w:eastAsia="方正仿宋_GBK" w:hAnsi="方正仿宋_GBK" w:cs="方正仿宋_GBK" w:hint="eastAsia"/>
          <w:sz w:val="32"/>
          <w:szCs w:val="32"/>
        </w:rPr>
        <w:t>，推行“扫码入企”检查制度。</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行政检查主体开展行政检查时，应当通过行政执法监督平台或者“扫码入企”小程序，</w:t>
      </w:r>
      <w:r w:rsidRPr="00973D39">
        <w:rPr>
          <w:rFonts w:ascii="方正仿宋_GBK" w:eastAsia="方正仿宋_GBK" w:hAnsi="方正仿宋_GBK" w:cs="方正仿宋_GBK"/>
          <w:sz w:val="32"/>
          <w:szCs w:val="32"/>
        </w:rPr>
        <w:t>扫描企业统一社会信用代码证二维码或</w:t>
      </w:r>
      <w:r w:rsidRPr="00973D39">
        <w:rPr>
          <w:rFonts w:ascii="方正仿宋_GBK" w:eastAsia="方正仿宋_GBK" w:hAnsi="方正仿宋_GBK" w:cs="方正仿宋_GBK" w:hint="eastAsia"/>
          <w:sz w:val="32"/>
          <w:szCs w:val="32"/>
        </w:rPr>
        <w:t>者</w:t>
      </w:r>
      <w:r w:rsidRPr="00973D39">
        <w:rPr>
          <w:rFonts w:ascii="方正仿宋_GBK" w:eastAsia="方正仿宋_GBK" w:hAnsi="方正仿宋_GBK" w:cs="方正仿宋_GBK"/>
          <w:sz w:val="32"/>
          <w:szCs w:val="32"/>
        </w:rPr>
        <w:t>模糊搜索获取企业信息，</w:t>
      </w:r>
      <w:r>
        <w:rPr>
          <w:rFonts w:ascii="方正仿宋_GBK" w:eastAsia="方正仿宋_GBK" w:hAnsi="方正仿宋_GBK" w:cs="方正仿宋_GBK"/>
          <w:sz w:val="32"/>
          <w:szCs w:val="32"/>
        </w:rPr>
        <w:t>展示电子执法证</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填写</w:t>
      </w:r>
      <w:r>
        <w:rPr>
          <w:rFonts w:ascii="方正仿宋_GBK" w:eastAsia="方正仿宋_GBK" w:hAnsi="方正仿宋_GBK" w:cs="方正仿宋_GBK" w:hint="eastAsia"/>
          <w:sz w:val="32"/>
          <w:szCs w:val="32"/>
        </w:rPr>
        <w:t>检查</w:t>
      </w:r>
      <w:r>
        <w:rPr>
          <w:rFonts w:ascii="方正仿宋_GBK" w:eastAsia="方正仿宋_GBK" w:hAnsi="方正仿宋_GBK" w:cs="方正仿宋_GBK"/>
          <w:sz w:val="32"/>
          <w:szCs w:val="32"/>
        </w:rPr>
        <w:t>人员、时间、</w:t>
      </w:r>
      <w:r>
        <w:rPr>
          <w:rFonts w:ascii="方正仿宋_GBK" w:eastAsia="方正仿宋_GBK" w:hAnsi="方正仿宋_GBK" w:cs="方正仿宋_GBK" w:hint="eastAsia"/>
          <w:sz w:val="32"/>
          <w:szCs w:val="32"/>
        </w:rPr>
        <w:t>事项</w:t>
      </w:r>
      <w:r>
        <w:rPr>
          <w:rFonts w:ascii="方正仿宋_GBK" w:eastAsia="方正仿宋_GBK" w:hAnsi="方正仿宋_GBK" w:cs="方正仿宋_GBK"/>
          <w:sz w:val="32"/>
          <w:szCs w:val="32"/>
        </w:rPr>
        <w:t>、结果等数据</w:t>
      </w:r>
      <w:r>
        <w:rPr>
          <w:rFonts w:ascii="方正仿宋_GBK" w:eastAsia="方正仿宋_GBK" w:hAnsi="方正仿宋_GBK" w:cs="方正仿宋_GBK" w:hint="eastAsia"/>
          <w:sz w:val="32"/>
          <w:szCs w:val="32"/>
        </w:rPr>
        <w:t>，实现检查全程可追溯。</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企业可以通过平台或者小程序核验检查信息和行政检查人员资格情况。</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第二十六条【企业评价】</w:t>
      </w:r>
      <w:r>
        <w:rPr>
          <w:rFonts w:ascii="方正仿宋_GBK" w:eastAsia="方正仿宋_GBK" w:hAnsi="方正仿宋_GBK" w:cs="方正仿宋_GBK"/>
          <w:sz w:val="32"/>
          <w:szCs w:val="32"/>
        </w:rPr>
        <w:t>行政检查完成后，</w:t>
      </w:r>
      <w:r>
        <w:rPr>
          <w:rFonts w:ascii="方正仿宋_GBK" w:eastAsia="方正仿宋_GBK" w:hAnsi="方正仿宋_GBK" w:cs="方正仿宋_GBK" w:hint="eastAsia"/>
          <w:sz w:val="32"/>
          <w:szCs w:val="32"/>
        </w:rPr>
        <w:t>行政执法监督平台、“扫码入企”小程序</w:t>
      </w:r>
      <w:r>
        <w:rPr>
          <w:rFonts w:ascii="方正仿宋_GBK" w:eastAsia="方正仿宋_GBK" w:hAnsi="方正仿宋_GBK" w:cs="方正仿宋_GBK"/>
          <w:sz w:val="32"/>
          <w:szCs w:val="32"/>
        </w:rPr>
        <w:t>自动生成评价二维码，企业</w:t>
      </w:r>
      <w:r>
        <w:rPr>
          <w:rFonts w:ascii="方正仿宋_GBK" w:eastAsia="方正仿宋_GBK" w:hAnsi="方正仿宋_GBK" w:cs="方正仿宋_GBK" w:hint="eastAsia"/>
          <w:sz w:val="32"/>
          <w:szCs w:val="32"/>
        </w:rPr>
        <w:t>可以通过</w:t>
      </w:r>
      <w:r>
        <w:rPr>
          <w:rFonts w:ascii="方正仿宋_GBK" w:eastAsia="方正仿宋_GBK" w:hAnsi="方正仿宋_GBK" w:cs="方正仿宋_GBK"/>
          <w:sz w:val="32"/>
          <w:szCs w:val="32"/>
        </w:rPr>
        <w:t>扫码对行政检查</w:t>
      </w:r>
      <w:r>
        <w:rPr>
          <w:rFonts w:ascii="方正仿宋_GBK" w:eastAsia="方正仿宋_GBK" w:hAnsi="方正仿宋_GBK" w:cs="方正仿宋_GBK" w:hint="eastAsia"/>
          <w:sz w:val="32"/>
          <w:szCs w:val="32"/>
        </w:rPr>
        <w:t>活动</w:t>
      </w:r>
      <w:r>
        <w:rPr>
          <w:rFonts w:ascii="方正仿宋_GBK" w:eastAsia="方正仿宋_GBK" w:hAnsi="方正仿宋_GBK" w:cs="方正仿宋_GBK"/>
          <w:sz w:val="32"/>
          <w:szCs w:val="32"/>
        </w:rPr>
        <w:t>进行评价。司法行政</w:t>
      </w:r>
      <w:r>
        <w:rPr>
          <w:rFonts w:ascii="方正仿宋_GBK" w:eastAsia="方正仿宋_GBK" w:hAnsi="方正仿宋_GBK" w:cs="方正仿宋_GBK" w:hint="eastAsia"/>
          <w:sz w:val="32"/>
          <w:szCs w:val="32"/>
        </w:rPr>
        <w:t>部门</w:t>
      </w:r>
      <w:r>
        <w:rPr>
          <w:rFonts w:ascii="方正仿宋_GBK" w:eastAsia="方正仿宋_GBK" w:hAnsi="方正仿宋_GBK" w:cs="方正仿宋_GBK"/>
          <w:sz w:val="32"/>
          <w:szCs w:val="32"/>
        </w:rPr>
        <w:t>和</w:t>
      </w:r>
      <w:r>
        <w:rPr>
          <w:rFonts w:ascii="方正仿宋_GBK" w:eastAsia="方正仿宋_GBK" w:hAnsi="方正仿宋_GBK" w:cs="方正仿宋_GBK" w:hint="eastAsia"/>
          <w:sz w:val="32"/>
          <w:szCs w:val="32"/>
        </w:rPr>
        <w:t>数据管理部门应当加强“扫码入企”</w:t>
      </w:r>
      <w:r>
        <w:rPr>
          <w:rFonts w:ascii="方正仿宋_GBK" w:eastAsia="方正仿宋_GBK" w:hAnsi="方正仿宋_GBK" w:cs="方正仿宋_GBK"/>
          <w:sz w:val="32"/>
          <w:szCs w:val="32"/>
        </w:rPr>
        <w:t>数据分析、核查，对行政检查行为</w:t>
      </w:r>
      <w:r>
        <w:rPr>
          <w:rFonts w:ascii="方正仿宋_GBK" w:eastAsia="方正仿宋_GBK" w:hAnsi="方正仿宋_GBK" w:cs="方正仿宋_GBK" w:hint="eastAsia"/>
          <w:sz w:val="32"/>
          <w:szCs w:val="32"/>
        </w:rPr>
        <w:t>进行</w:t>
      </w:r>
      <w:r>
        <w:rPr>
          <w:rFonts w:ascii="方正仿宋_GBK" w:eastAsia="方正仿宋_GBK" w:hAnsi="方正仿宋_GBK" w:cs="方正仿宋_GBK"/>
          <w:sz w:val="32"/>
          <w:szCs w:val="32"/>
        </w:rPr>
        <w:t>预警、监督。</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第二十七条【检查告知】</w:t>
      </w:r>
      <w:r>
        <w:rPr>
          <w:rFonts w:ascii="方正仿宋_GBK" w:eastAsia="方正仿宋_GBK" w:hAnsi="方正仿宋_GBK" w:cs="方正仿宋_GBK" w:hint="eastAsia"/>
          <w:sz w:val="32"/>
          <w:szCs w:val="32"/>
        </w:rPr>
        <w:t>在不妨碍行政检查目的实现的前提下，行政检查主体开展行政检查，可以提前书面告知检查对象。告知内容包括检查时间、检查方式、检查事项以及需要准备的相关材料等，并指导检查对象做好检查前期准备工作。</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企业可以就告知内容向行政检查主体提出异议或者咨询，行政检查主体应当予以处理并答复。</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第二十八条【一般要求】</w:t>
      </w:r>
      <w:r>
        <w:rPr>
          <w:rFonts w:ascii="方正仿宋_GBK" w:eastAsia="方正仿宋_GBK" w:hAnsi="方正仿宋_GBK" w:cs="方正仿宋_GBK" w:hint="eastAsia"/>
          <w:sz w:val="32"/>
          <w:szCs w:val="32"/>
        </w:rPr>
        <w:t>实施现场行政检查应当遵守下列规定：</w:t>
      </w:r>
    </w:p>
    <w:p w:rsidR="00026CBC" w:rsidRDefault="007F0976">
      <w:pPr>
        <w:spacing w:line="560" w:lineRule="exact"/>
        <w:ind w:firstLineChars="200" w:firstLine="640"/>
        <w:rPr>
          <w:rFonts w:ascii="方正仿宋_GBK" w:eastAsia="方正仿宋_GBK" w:hAnsi="方正仿宋_GBK" w:cs="方正仿宋_GBK"/>
          <w:strike/>
          <w:sz w:val="32"/>
          <w:szCs w:val="32"/>
        </w:rPr>
      </w:pPr>
      <w:r>
        <w:rPr>
          <w:rFonts w:ascii="方正仿宋_GBK" w:eastAsia="方正仿宋_GBK" w:hAnsi="方正仿宋_GBK" w:cs="方正仿宋_GBK" w:hint="eastAsia"/>
          <w:sz w:val="32"/>
          <w:szCs w:val="32"/>
        </w:rPr>
        <w:t>（一）执法人员不得少于两人并主动出示行政执法证件；</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（二）出具行政检查通知书；</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（三）告知检查对象有关权利义务，听取检查对象意见；</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（四）及时告知检查对象检查结果；</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（五）法律、法规、规章规定的其他要求。</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第二十九条【企业提供资料的控制】</w:t>
      </w:r>
      <w:r>
        <w:rPr>
          <w:rFonts w:ascii="方正仿宋_GBK" w:eastAsia="方正仿宋_GBK" w:hAnsi="方正仿宋_GBK" w:cs="方正仿宋_GBK" w:hint="eastAsia"/>
          <w:sz w:val="32"/>
          <w:szCs w:val="32"/>
        </w:rPr>
        <w:t>行政检查主体不得要求企业提供与检查事项无关、超出合理范围和数量要求的资料。对能够通过数据共享获取的数据和信息，不得要求企业多头、重复提供。企业可以对相关检查要求提出异议，行政检查主体应当说明理由，并做好记录。</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第三十条【禁止性行为】</w:t>
      </w:r>
      <w:r>
        <w:rPr>
          <w:rFonts w:ascii="方正仿宋_GBK" w:eastAsia="方正仿宋_GBK" w:hAnsi="方正仿宋_GBK" w:cs="方正仿宋_GBK" w:hint="eastAsia"/>
          <w:sz w:val="32"/>
          <w:szCs w:val="32"/>
        </w:rPr>
        <w:t>行政检查主体及其检查人员实施行政检查，禁止下列行为：</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（一）接受企业任何形式的礼品、礼金等馈赠；</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（二）参加企业提供的宴请、娱乐、旅游等活动；</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（三）由企业支付应由本人承担的消费开支或者将行政检查费用转嫁给企业；</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（四）强制、介绍、暗示企业购买指定商品、接受指定中介机构服务；</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w:t>
      </w:r>
      <w:r w:rsidRPr="00973D39">
        <w:rPr>
          <w:rFonts w:ascii="方正仿宋_GBK" w:eastAsia="方正仿宋_GBK" w:hAnsi="方正仿宋_GBK" w:cs="方正仿宋_GBK" w:hint="eastAsia"/>
          <w:sz w:val="32"/>
          <w:szCs w:val="32"/>
        </w:rPr>
        <w:t>无正当理由要求企业法定代表人、主要负责人到场，涉主要负责人“逢查必考”等特殊要求除外；</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（六）乱查封、乱扣押、乱冻结，违法责令停产停业；</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（七）下达检查指标，将考核考评、预算项目绩效与检查频次、检查覆盖率、罚款数额挂钩；</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（八）以观摩、督查、考核、调研等名义变相实施行政检查；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（九）</w:t>
      </w:r>
      <w:r w:rsidRPr="00973D39">
        <w:rPr>
          <w:rFonts w:ascii="方正仿宋_GBK" w:eastAsia="方正仿宋_GBK" w:hAnsi="方正仿宋_GBK" w:cs="方正仿宋_GBK" w:hint="eastAsia"/>
          <w:sz w:val="32"/>
          <w:szCs w:val="32"/>
        </w:rPr>
        <w:t>过度检查，向企业提出过于苛刻或者与检查无关</w:t>
      </w:r>
      <w:r w:rsidRPr="00973D39">
        <w:rPr>
          <w:rFonts w:ascii="方正仿宋_GBK" w:eastAsia="方正仿宋_GBK" w:hAnsi="方正仿宋_GBK" w:cs="方正仿宋_GBK" w:hint="eastAsia"/>
          <w:sz w:val="32"/>
          <w:szCs w:val="32"/>
        </w:rPr>
        <w:lastRenderedPageBreak/>
        <w:t>的要求；</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（十）其他侵害企业及其人员合法权益的行为。</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第三十一条【案件移送】</w:t>
      </w:r>
      <w:r>
        <w:rPr>
          <w:rFonts w:ascii="方正仿宋_GBK" w:eastAsia="方正仿宋_GBK" w:hAnsi="方正仿宋_GBK" w:cs="方正仿宋_GBK" w:hint="eastAsia"/>
          <w:sz w:val="32"/>
          <w:szCs w:val="32"/>
        </w:rPr>
        <w:t>行政检查主体实施涉企行政检查过程中，发现对违法行为不具有管辖权的，应当在七个工作日内移送有管辖权的行政执法主体；有管辖权的行政执法主体应当接收并及时核实处理。</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第三十二条【检查结果异议处理】</w:t>
      </w:r>
      <w:r>
        <w:rPr>
          <w:rFonts w:ascii="方正仿宋_GBK" w:eastAsia="方正仿宋_GBK" w:hAnsi="方正仿宋_GBK" w:cs="方正仿宋_GBK" w:hint="eastAsia"/>
          <w:sz w:val="32"/>
          <w:szCs w:val="32"/>
        </w:rPr>
        <w:t>行政检查结束后，行政检查人员应当将行政检查结果及时告知检查对象。检查发现问题的，应当告知整改要求。</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企业对检查结果有异议的，可以在收到检查结果之日起七个工作日内，向检查主体提出。行政检查主体应当在收到异议处理申请之日起十五个工作日内核实并答复企业处理结果。</w:t>
      </w:r>
    </w:p>
    <w:p w:rsidR="00026CBC" w:rsidRDefault="00026CBC">
      <w:pPr>
        <w:spacing w:line="560" w:lineRule="exact"/>
        <w:ind w:firstLineChars="200" w:firstLine="640"/>
        <w:rPr>
          <w:rFonts w:ascii="方正仿宋_GBK" w:eastAsia="方正仿宋_GBK" w:hAnsi="方正仿宋_GBK" w:cs="方正仿宋_GBK"/>
          <w:sz w:val="32"/>
          <w:szCs w:val="32"/>
        </w:rPr>
      </w:pPr>
    </w:p>
    <w:p w:rsidR="00026CBC" w:rsidRDefault="007F0976">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第五章 服务指导</w:t>
      </w:r>
    </w:p>
    <w:p w:rsidR="00026CBC" w:rsidRDefault="00026CBC">
      <w:pPr>
        <w:spacing w:line="560" w:lineRule="exact"/>
        <w:jc w:val="center"/>
        <w:rPr>
          <w:rFonts w:ascii="方正黑体_GBK" w:eastAsia="方正黑体_GBK" w:hAnsi="方正黑体_GBK" w:cs="方正黑体_GBK"/>
          <w:sz w:val="32"/>
          <w:szCs w:val="32"/>
        </w:rPr>
      </w:pP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第三十三条【分级分类监管】</w:t>
      </w:r>
      <w:r>
        <w:rPr>
          <w:rFonts w:ascii="方正仿宋_GBK" w:eastAsia="方正仿宋_GBK" w:hAnsi="方正仿宋_GBK" w:cs="方正仿宋_GBK" w:hint="eastAsia"/>
          <w:sz w:val="32"/>
          <w:szCs w:val="32"/>
        </w:rPr>
        <w:t>市级行政检查主体应当按照国家和省有关分级分类监管要求，根据企业信用评价、风险等级等，细化完善分级分类检查制度，动态调整行政检查比例、频次、层级和方式，提高行政检查的精准性、有效性。</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直接涉及公共安全和人民群众生命健康的特殊行业、重点领域，应当依法实行重点监管；对新技术、新产业、新业态、新模式等行业领域，应当按照鼓励创新的原则实行包容审慎监管；对于信用评价良好、风险等级较低的企业，可</w:t>
      </w:r>
      <w:r>
        <w:rPr>
          <w:rFonts w:ascii="方正仿宋_GBK" w:eastAsia="方正仿宋_GBK" w:hAnsi="方正仿宋_GBK" w:cs="方正仿宋_GBK" w:hint="eastAsia"/>
          <w:sz w:val="32"/>
          <w:szCs w:val="32"/>
        </w:rPr>
        <w:lastRenderedPageBreak/>
        <w:t>以适当减少检查频次。</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对于商业连锁企业分支机构及其统购分销的产品，在规范管理安全风险可控的前提下，市、县（区）行政检查主体应当加强数据信息共享，优先适用非现场检查方式，避免重复检查。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行政检查结果应当根据相关规定作为分级分类信用监管的重要参考和依据。</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第三十四条【非现场检查】</w:t>
      </w:r>
      <w:r>
        <w:rPr>
          <w:rFonts w:ascii="方正仿宋_GBK" w:eastAsia="方正仿宋_GBK" w:hAnsi="方正仿宋_GBK" w:cs="方正仿宋_GBK" w:hint="eastAsia"/>
          <w:sz w:val="32"/>
          <w:szCs w:val="32"/>
        </w:rPr>
        <w:t>行政检查主体充分运用互联网、大数据、人工智能等技术，通过视频监控、自动巡查、智能预警、数据上传等远程方式，主动发现和识别违法违规行为及线索。</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行政检查主体应当优先适用非现场监管，能够通过书面核查、信息共享、智慧监管等非现场方式达到检查目的的，不得实施现场检查。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行政检查主体对非现场检查收集的信息，可以采取电话询问、书面质询、约见谈话、现场查验等方式进行核验。</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司法行政部门应当推动行政检查主体拓展非现场检查应用场景，建立相应程序规则和标准，规范实施非现场检查。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第三十五条【预告式检查】</w:t>
      </w:r>
      <w:r>
        <w:rPr>
          <w:rFonts w:ascii="方正仿宋_GBK" w:eastAsia="方正仿宋_GBK" w:hAnsi="方正仿宋_GBK" w:cs="方正仿宋_GBK" w:hint="eastAsia"/>
          <w:sz w:val="32"/>
          <w:szCs w:val="32"/>
        </w:rPr>
        <w:t>除食品药品、安全生产等关系人民群众切身利益的重点领域外，行政执法机关可以在开展行政检查前，提前一段时间向企业送达《行政检查通知书》，明确检查依据、时间、内容及人员，引导企业在预告期限内加强隐患的自查自纠。</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第三十六条【预约式服务】</w:t>
      </w:r>
      <w:r>
        <w:rPr>
          <w:rFonts w:ascii="方正仿宋_GBK" w:eastAsia="方正仿宋_GBK" w:hAnsi="方正仿宋_GBK" w:cs="方正仿宋_GBK" w:hint="eastAsia"/>
          <w:sz w:val="32"/>
          <w:szCs w:val="32"/>
        </w:rPr>
        <w:t>企业根据需要，可以邀请行</w:t>
      </w:r>
      <w:r>
        <w:rPr>
          <w:rFonts w:ascii="方正仿宋_GBK" w:eastAsia="方正仿宋_GBK" w:hAnsi="方正仿宋_GBK" w:cs="方正仿宋_GBK" w:hint="eastAsia"/>
          <w:sz w:val="32"/>
          <w:szCs w:val="32"/>
        </w:rPr>
        <w:lastRenderedPageBreak/>
        <w:t>政检查主体提供合规体检、风险提示、上门指导等服务，服务结果不纳入执法程序。</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第三十七条【合规指导】</w:t>
      </w:r>
      <w:r>
        <w:rPr>
          <w:rFonts w:ascii="方正仿宋_GBK" w:eastAsia="方正仿宋_GBK" w:hAnsi="方正仿宋_GBK" w:cs="方正仿宋_GBK" w:hint="eastAsia"/>
          <w:sz w:val="32"/>
          <w:szCs w:val="32"/>
        </w:rPr>
        <w:t>本市推行企业合规经营指导工作。</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市、县（区）人民政府应当围绕重点行业，组织编制跨部门“一业一册”依法经营指引。</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市级行政检查主体应当编制本行政执法领域企业合规经营指南，发布合规指导通用清单及专用指导手册。</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行政检查主体应当加强日常指导和服务，帮助企业规避违法风险。对涉及领域广、整改要求高的事项，可以实施跨部门联合指导服务。</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第三十八条【包容审慎监管】</w:t>
      </w:r>
      <w:r>
        <w:rPr>
          <w:rFonts w:ascii="方正仿宋_GBK" w:eastAsia="方正仿宋_GBK" w:hAnsi="方正仿宋_GBK" w:cs="方正仿宋_GBK" w:hint="eastAsia"/>
          <w:sz w:val="32"/>
          <w:szCs w:val="32"/>
        </w:rPr>
        <w:t>行政检查主体在行政检查中发现企业存在违法违规行为，应当推广运用说服教育、劝导示范、行政指导等非强制性手段，依法慎重实施行政强制。</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行政检查主体应当建立健全轻微违法行为依法从轻、减轻、不予行政处罚清单，建立依法不予实施行政强制措施事项清单，最大限度降低对企业正常生产经营活动的影响。</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第三十九条【经济影响评估】</w:t>
      </w:r>
      <w:r>
        <w:rPr>
          <w:rFonts w:ascii="方正仿宋_GBK" w:eastAsia="方正仿宋_GBK" w:hAnsi="方正仿宋_GBK" w:cs="方正仿宋_GBK" w:hint="eastAsia"/>
          <w:sz w:val="32"/>
          <w:szCs w:val="32"/>
        </w:rPr>
        <w:t>行政检查主体拟作出较大数额罚款、没收违法所得、没收非法财物以及暂扣许可证件、降低资质等级等行政处罚，可以组织经济影响评估。经评估可能严重影响企业正常生产经营或者可能造成企业停产、停业、关闭等重大影响的，应当依法依规谨慎实施，并采取相应的补救或者帮助措施。</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实施行政检查依法需要采取查封、扣押、冻结等强制措</w:t>
      </w:r>
      <w:r>
        <w:rPr>
          <w:rFonts w:ascii="方正仿宋_GBK" w:eastAsia="方正仿宋_GBK" w:hAnsi="方正仿宋_GBK" w:cs="方正仿宋_GBK" w:hint="eastAsia"/>
          <w:sz w:val="32"/>
          <w:szCs w:val="32"/>
        </w:rPr>
        <w:lastRenderedPageBreak/>
        <w:t>施的，应当组织经济影响评估，采取对企业权益造成限制或者损害最小的方式，避免因措施不当影响其正常生产经营。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第四十条【强化政企沟通】</w:t>
      </w:r>
      <w:r>
        <w:rPr>
          <w:rFonts w:ascii="方正仿宋_GBK" w:eastAsia="方正仿宋_GBK" w:hAnsi="方正仿宋_GBK" w:cs="方正仿宋_GBK" w:hint="eastAsia"/>
          <w:sz w:val="32"/>
          <w:szCs w:val="32"/>
        </w:rPr>
        <w:t>行政检查主体应当建立常态化政企沟通联系机制，健全线上线下相结合的企业问题反映渠道，建立企业诉求快速响应、满意度评价等工作机制，实现问题梳理、转办、处置以及反馈全流程闭环管理。</w:t>
      </w:r>
    </w:p>
    <w:p w:rsidR="00026CBC" w:rsidRDefault="00026CBC">
      <w:pPr>
        <w:spacing w:line="560" w:lineRule="exact"/>
        <w:ind w:firstLineChars="200" w:firstLine="640"/>
        <w:rPr>
          <w:rFonts w:ascii="方正仿宋_GBK" w:eastAsia="方正仿宋_GBK" w:hAnsi="方正仿宋_GBK" w:cs="方正仿宋_GBK"/>
          <w:sz w:val="32"/>
          <w:szCs w:val="32"/>
        </w:rPr>
      </w:pPr>
    </w:p>
    <w:p w:rsidR="00026CBC" w:rsidRDefault="007F0976">
      <w:pPr>
        <w:numPr>
          <w:ilvl w:val="0"/>
          <w:numId w:val="1"/>
        </w:num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检查监督</w:t>
      </w:r>
    </w:p>
    <w:p w:rsidR="00026CBC" w:rsidRDefault="00026CBC">
      <w:pPr>
        <w:spacing w:line="560" w:lineRule="exact"/>
        <w:rPr>
          <w:rFonts w:ascii="方正黑体_GBK" w:eastAsia="方正黑体_GBK" w:hAnsi="方正黑体_GBK" w:cs="方正黑体_GBK"/>
          <w:sz w:val="32"/>
          <w:szCs w:val="32"/>
        </w:rPr>
      </w:pP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第四十一条【强化执法监督】</w:t>
      </w:r>
      <w:r>
        <w:rPr>
          <w:rFonts w:ascii="方正仿宋_GBK" w:eastAsia="方正仿宋_GBK" w:hAnsi="方正仿宋_GBK" w:cs="方正仿宋_GBK" w:hint="eastAsia"/>
          <w:sz w:val="32"/>
          <w:szCs w:val="32"/>
        </w:rPr>
        <w:t>行政检查主体应当建立完善本行业、本领域的行政检查内部监督制度，督促检查人员依法履行职责，推进严格规范公正文明执法。</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司法行政部门应当通过网上监测、工作检查、案卷评查等形式，常态化规范涉企行政检查活动。依托江苏省涉企行政检查公示专栏，依法公示行政检查相关内容。健全涉企行政检查违法行为投诉举报处理机制，完善快速响应、满意度评价等配套制度。</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第四十二条【开展质效评估】</w:t>
      </w:r>
      <w:r>
        <w:rPr>
          <w:rFonts w:ascii="方正仿宋_GBK" w:eastAsia="方正仿宋_GBK" w:hAnsi="方正仿宋_GBK" w:cs="方正仿宋_GBK" w:hint="eastAsia"/>
          <w:sz w:val="32"/>
          <w:szCs w:val="32"/>
        </w:rPr>
        <w:t>本市建立涉企行政检查效能评估机制。</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级行政检查主体应当明确本领域行政检查实施情况评估标准。行政检查主体应当按照评估标准，围绕涉企行政检查的合法性、合理性、必要性、时效性和检查计划执行率、检查问题发现率、检查行为规范率、检查责任落实率等，每年组织开展行政检查实施情况效能评估，评估情况报上级行</w:t>
      </w:r>
      <w:r>
        <w:rPr>
          <w:rFonts w:ascii="方正仿宋_GBK" w:eastAsia="方正仿宋_GBK" w:hAnsi="方正仿宋_GBK" w:cs="方正仿宋_GBK" w:hint="eastAsia"/>
          <w:sz w:val="32"/>
          <w:szCs w:val="32"/>
        </w:rPr>
        <w:lastRenderedPageBreak/>
        <w:t>政检查主体和本级数据部门，并根据评估结果及时组织优化调整。</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数据和司法行政部门应当组织开展年度行政检查效能综合评估工作，及时研究共性问题，促进行政检查提质增效。</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第四十三条【全程留痕管理】</w:t>
      </w:r>
      <w:r>
        <w:rPr>
          <w:rFonts w:ascii="方正仿宋_GBK" w:eastAsia="方正仿宋_GBK" w:hAnsi="方正仿宋_GBK" w:cs="方正仿宋_GBK" w:hint="eastAsia"/>
          <w:sz w:val="32"/>
          <w:szCs w:val="32"/>
        </w:rPr>
        <w:t>行政检查主体应当严格落实行政检查全过程记录制度，对行政检查过程中直接形成、反映检查活动情况、有保存价值的行政执法文书、证据等进行归档和妥善管理，形成行政检查档案。</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第四十四条【法律责任】</w:t>
      </w:r>
      <w:r>
        <w:rPr>
          <w:rFonts w:ascii="方正仿宋_GBK" w:eastAsia="方正仿宋_GBK" w:hAnsi="方正仿宋_GBK" w:cs="方正仿宋_GBK" w:hint="eastAsia"/>
          <w:sz w:val="32"/>
          <w:szCs w:val="32"/>
        </w:rPr>
        <w:t>行政检查主体违反本条例规定，有下列行为的，由有权机关对直接负责的主管人员和其他直接责任人员依法给予处分；情节严重构成犯罪的，依法追究刑事责任；造成企业损失的，依法承担赔偿责任：</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（一）违反第十一条至第十六条，未履行或者未按规定履行检查事项、检查计划、检查标准、检查方案、检查频次等管理职责；</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（二）违反第二十一条至第二十四条，未按照规定权限、程序、要求开展合并检查和联合检查；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（三）违反第二十五条，未按照规定扫码入企的；</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（四）违反第二十六条，未按照规定实施现场检查；</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（五）违反第二十九条禁止性规定；</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（六）违反第三十条、第三十一条关于案件移送、检查结果处理规定；</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（七）违反本条例规定，依法应当给予处分的其他情形。</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市、县（区）人民政府应当推动行政执法监督与法治督</w:t>
      </w:r>
      <w:r>
        <w:rPr>
          <w:rFonts w:ascii="方正仿宋_GBK" w:eastAsia="方正仿宋_GBK" w:hAnsi="方正仿宋_GBK" w:cs="方正仿宋_GBK" w:hint="eastAsia"/>
          <w:sz w:val="32"/>
          <w:szCs w:val="32"/>
        </w:rPr>
        <w:lastRenderedPageBreak/>
        <w:t>察、政府督查、行政复议、行政诉讼等方面的协作联动，健全行政执法监督机构与监察机关的信息沟通、线索移送、结果共享等机制，对涉嫌贪污贿赂、失职渎职等职务违法或职务犯罪的，依法向监察机关移送问题线索。</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第四十五条【免责规定】</w:t>
      </w:r>
      <w:r>
        <w:rPr>
          <w:rFonts w:ascii="方正仿宋_GBK" w:eastAsia="方正仿宋_GBK" w:hAnsi="方正仿宋_GBK" w:cs="方正仿宋_GBK" w:hint="eastAsia"/>
          <w:sz w:val="32"/>
          <w:szCs w:val="32"/>
        </w:rPr>
        <w:t>鼓励市、县（区）人民政府和行政检查主体探索创新提高行政检查效能、减轻企业负担的具体措施。对探索中出现失误或者偏差，符合规定条件，且已履行职责的，可以予以免责或者减轻责任。</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因下列原因，导致行政执法案件被纠错，不作为错案对行政检查主体及行政执法人员进行责任追究：</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（一）对法律、法规、规章具体条文的理解和认识不一致，在专业认知范围内能够予以合理说明；</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（二）对案件基本事实的判断存在争议或者疑问，根据证据规则能够予以合理说明；</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（三）因当事人过错或者客观原因致使案件事实认定发生变化；</w:t>
      </w:r>
    </w:p>
    <w:p w:rsidR="00026CBC" w:rsidRDefault="007F0976">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（四）符合尽职免责规定的其他情形。</w:t>
      </w:r>
    </w:p>
    <w:p w:rsidR="00026CBC" w:rsidRDefault="00026CBC">
      <w:pPr>
        <w:spacing w:line="560" w:lineRule="exact"/>
        <w:ind w:firstLineChars="200" w:firstLine="640"/>
        <w:rPr>
          <w:rFonts w:ascii="方正仿宋_GBK" w:eastAsia="方正仿宋_GBK" w:hAnsi="方正仿宋_GBK" w:cs="方正仿宋_GBK"/>
          <w:sz w:val="32"/>
          <w:szCs w:val="32"/>
        </w:rPr>
      </w:pPr>
    </w:p>
    <w:p w:rsidR="00026CBC" w:rsidRDefault="007F0976">
      <w:pPr>
        <w:spacing w:line="56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第七章 附则</w:t>
      </w:r>
    </w:p>
    <w:p w:rsidR="00026CBC" w:rsidRDefault="00026CBC">
      <w:pPr>
        <w:spacing w:line="560" w:lineRule="exact"/>
        <w:jc w:val="center"/>
        <w:rPr>
          <w:rFonts w:ascii="方正黑体_GBK" w:eastAsia="方正黑体_GBK" w:hAnsi="方正黑体_GBK" w:cs="方正黑体_GBK"/>
          <w:sz w:val="32"/>
          <w:szCs w:val="32"/>
        </w:rPr>
      </w:pPr>
    </w:p>
    <w:p w:rsidR="00026CBC" w:rsidRDefault="007F0976">
      <w:pPr>
        <w:spacing w:line="560" w:lineRule="exact"/>
        <w:ind w:firstLineChars="200" w:firstLine="640"/>
        <w:rPr>
          <w:rFonts w:ascii="方正仿宋_GBK" w:eastAsia="方正仿宋_GBK" w:hAnsi="方正仿宋_GBK" w:cs="方正仿宋_GBK"/>
          <w:sz w:val="32"/>
          <w:szCs w:val="32"/>
        </w:rPr>
      </w:pPr>
      <w:bookmarkStart w:id="0" w:name="_GoBack"/>
      <w:bookmarkEnd w:id="0"/>
      <w:r>
        <w:rPr>
          <w:rFonts w:ascii="方正黑体_GBK" w:eastAsia="方正黑体_GBK" w:hAnsi="方正黑体_GBK" w:cs="方正黑体_GBK" w:hint="eastAsia"/>
          <w:sz w:val="32"/>
          <w:szCs w:val="32"/>
        </w:rPr>
        <w:t>第四十六条【实施日期】</w:t>
      </w:r>
      <w:r>
        <w:rPr>
          <w:rFonts w:ascii="方正仿宋_GBK" w:eastAsia="方正仿宋_GBK" w:hAnsi="方正仿宋_GBK" w:cs="方正仿宋_GBK" w:hint="eastAsia"/>
          <w:sz w:val="32"/>
          <w:szCs w:val="32"/>
        </w:rPr>
        <w:t>本条例自  年  月  日起施行。</w:t>
      </w:r>
    </w:p>
    <w:sectPr w:rsidR="00026CBC" w:rsidSect="00026CB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04E" w:rsidRDefault="0089304E" w:rsidP="00026CBC">
      <w:pPr>
        <w:ind w:firstLine="420"/>
      </w:pPr>
      <w:r>
        <w:separator/>
      </w:r>
    </w:p>
  </w:endnote>
  <w:endnote w:type="continuationSeparator" w:id="1">
    <w:p w:rsidR="0089304E" w:rsidRDefault="0089304E" w:rsidP="00026CB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BC" w:rsidRDefault="009214C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026CBC" w:rsidRDefault="009214C5">
                <w:pPr>
                  <w:pStyle w:val="a3"/>
                </w:pPr>
                <w:r>
                  <w:fldChar w:fldCharType="begin"/>
                </w:r>
                <w:r w:rsidR="007F0976">
                  <w:instrText xml:space="preserve"> PAGE  \* MERGEFORMAT </w:instrText>
                </w:r>
                <w:r>
                  <w:fldChar w:fldCharType="separate"/>
                </w:r>
                <w:r w:rsidR="00973D39">
                  <w:rPr>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04E" w:rsidRDefault="0089304E" w:rsidP="00026CBC">
      <w:pPr>
        <w:ind w:firstLine="420"/>
      </w:pPr>
      <w:r>
        <w:separator/>
      </w:r>
    </w:p>
  </w:footnote>
  <w:footnote w:type="continuationSeparator" w:id="1">
    <w:p w:rsidR="0089304E" w:rsidRDefault="0089304E" w:rsidP="00026CBC">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72C9F5"/>
    <w:multiLevelType w:val="singleLevel"/>
    <w:tmpl w:val="AF72C9F5"/>
    <w:lvl w:ilvl="0">
      <w:start w:val="6"/>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D9D5138"/>
    <w:rsid w:val="00026CBC"/>
    <w:rsid w:val="007F0976"/>
    <w:rsid w:val="0089304E"/>
    <w:rsid w:val="009214C5"/>
    <w:rsid w:val="00973D39"/>
    <w:rsid w:val="00EC19E5"/>
    <w:rsid w:val="0D9D51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6CBC"/>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6CBC"/>
    <w:pPr>
      <w:tabs>
        <w:tab w:val="center" w:pos="4153"/>
        <w:tab w:val="right" w:pos="8306"/>
      </w:tabs>
      <w:snapToGrid w:val="0"/>
      <w:jc w:val="left"/>
    </w:pPr>
    <w:rPr>
      <w:sz w:val="18"/>
    </w:rPr>
  </w:style>
  <w:style w:type="table" w:styleId="a4">
    <w:name w:val="Table Grid"/>
    <w:basedOn w:val="a1"/>
    <w:rsid w:val="00026CBC"/>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EC19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C19E5"/>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dc:creator>
  <cp:lastModifiedBy>ZQX</cp:lastModifiedBy>
  <cp:revision>3</cp:revision>
  <dcterms:created xsi:type="dcterms:W3CDTF">2026-03-05T09:54:00Z</dcterms:created>
  <dcterms:modified xsi:type="dcterms:W3CDTF">2026-03-11T06:38:00Z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FAB491AD313F4364BD76F6E75DAD93DA_11</vt:lpwstr>
  </property>
  <property fmtid="{D5CDD505-2E9C-101B-9397-08002B2CF9AE}" pid="4" name="KSOTemplateDocerSaveRecord">
    <vt:lpwstr>eyJoZGlkIjoiNDE2OGU5ODQwODJmNTI0MzdkNDIzMWM5ZmM0ZjJkMWYiLCJ1c2VySWQiOiI3ODUyODA5MjQifQ==</vt:lpwstr>
  </property>
</Properties>
</file>