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kinsoku/>
        <w:wordWrap/>
        <w:overflowPunct/>
        <w:topLinePunct w:val="0"/>
        <w:autoSpaceDE/>
        <w:autoSpaceDN/>
        <w:bidi w:val="0"/>
        <w:adjustRightInd/>
        <w:snapToGrid/>
        <w:spacing w:beforeLines="50" w:before="212" w:afterLines="100" w:after="423" w:line="520" w:lineRule="exact"/>
        <w:ind w:firstLineChars="0" w:firstLine="0"/>
        <w:jc w:val="center"/>
        <w:textAlignment w:val="auto"/>
        <w:rPr>
          <w:rFonts w:ascii="方正小标宋_GBK" w:eastAsia="方正小标宋_GBK" w:cs="方正公文小标宋" w:hint="eastAsia"/>
          <w:color w:val="auto"/>
          <w:sz w:val="44"/>
          <w:szCs w:val="44"/>
        </w:rPr>
      </w:pPr>
      <w:r>
        <w:rPr>
          <w:rFonts w:ascii="方正小标宋_GBK" w:eastAsia="方正小标宋_GBK" w:cs="方正公文小标宋" w:hint="eastAsia"/>
          <w:color w:val="auto"/>
          <w:sz w:val="44"/>
          <w:szCs w:val="44"/>
          <w:lang w:val="en-US" w:eastAsia="zh-CN"/>
        </w:rPr>
        <w:fldChar w:fldCharType="begin"/>
      </w:r>
      <w:r>
        <w:instrText>HYPERLINK "https://alphalawyer.cn/ilawregu-search/api/v1/lawregu/redict/615dc078cc517cf12b330f417cae13c6"</w:instrText>
      </w:r>
      <w:r>
        <w:rPr>
          <w:rFonts w:ascii="方正小标宋_GBK" w:eastAsia="方正小标宋_GBK" w:cs="方正公文小标宋" w:hint="eastAsia"/>
          <w:color w:val="auto"/>
          <w:sz w:val="44"/>
          <w:szCs w:val="44"/>
          <w:lang w:val="en-US" w:eastAsia="zh-CN"/>
        </w:rPr>
        <w:fldChar w:fldCharType="separate"/>
      </w:r>
      <w:r>
        <w:rPr>
          <w:rFonts w:ascii="方正小标宋_GBK" w:eastAsia="方正小标宋_GBK" w:cs="方正公文小标宋" w:hint="eastAsia"/>
          <w:color w:val="auto"/>
          <w:sz w:val="44"/>
          <w:szCs w:val="44"/>
          <w:lang w:val="en-US" w:eastAsia="zh-CN"/>
        </w:rPr>
        <w:t>连云港市</w:t>
      </w:r>
      <w:r>
        <w:rPr>
          <w:rFonts w:ascii="方正小标宋_GBK" w:eastAsia="方正小标宋_GBK" w:cs="方正公文小标宋" w:hint="eastAsia"/>
          <w:color w:val="auto"/>
          <w:sz w:val="44"/>
          <w:szCs w:val="44"/>
        </w:rPr>
        <w:t>献血条例</w:t>
      </w:r>
      <w:r>
        <w:rPr>
          <w:rFonts w:ascii="方正小标宋_GBK" w:eastAsia="方正小标宋_GBK" w:cs="方正公文小标宋" w:hint="eastAsia"/>
          <w:color w:val="auto"/>
          <w:sz w:val="44"/>
          <w:szCs w:val="44"/>
          <w:lang w:val="en-US" w:eastAsia="zh-CN"/>
        </w:rPr>
        <w:fldChar w:fldCharType="end"/>
      </w:r>
      <w:r>
        <w:rPr>
          <w:rFonts w:ascii="方正小标宋_GBK" w:eastAsia="方正小标宋_GBK" w:cs="方正公文小标宋"/>
          <w:color w:val="auto"/>
          <w:sz w:val="44"/>
          <w:szCs w:val="44"/>
        </w:rPr>
        <w:t>（草案）</w:t>
      </w:r>
    </w:p>
    <w:p>
      <w:pPr>
        <w:keepNext w:val="0"/>
        <w:keepLines w:val="0"/>
        <w:pageBreakBefore w:val="0"/>
        <w:widowControl/>
        <w:kinsoku/>
        <w:wordWrap/>
        <w:overflowPunct/>
        <w:topLinePunct w:val="0"/>
        <w:autoSpaceDE/>
        <w:autoSpaceDN/>
        <w:bidi w:val="0"/>
        <w:adjustRightInd/>
        <w:snapToGrid/>
        <w:spacing w:beforeLines="50" w:before="212" w:afterLines="100" w:after="423" w:line="520" w:lineRule="exact"/>
        <w:ind w:firstLineChars="0" w:firstLine="0"/>
        <w:jc w:val="center"/>
        <w:textAlignment w:val="auto"/>
        <w:rPr>
          <w:rFonts w:ascii="楷体_GB2312" w:eastAsia="楷体_GB2312" w:cs="方正公文小标宋" w:hint="eastAsia"/>
          <w:color w:val="auto"/>
          <w:sz w:val="32"/>
          <w:szCs w:val="32"/>
          <w:lang w:val="en-US" w:eastAsia="zh-CN"/>
        </w:rPr>
      </w:pPr>
      <w:r>
        <w:rPr>
          <w:rFonts w:ascii="楷体_GB2312" w:eastAsia="楷体_GB2312" w:cs="方正公文小标宋" w:hint="eastAsia"/>
          <w:color w:val="auto"/>
          <w:sz w:val="32"/>
          <w:szCs w:val="32"/>
          <w:lang w:val="en-US" w:eastAsia="zh-CN"/>
        </w:rPr>
        <w:t>（送审稿）</w:t>
      </w:r>
    </w:p>
    <w:p>
      <w:pPr>
        <w:keepNext w:val="0"/>
        <w:keepLines w:val="0"/>
        <w:pageBreakBefore w:val="0"/>
        <w:widowControl/>
        <w:kinsoku/>
        <w:wordWrap/>
        <w:overflowPunct/>
        <w:topLinePunct w:val="0"/>
        <w:autoSpaceDE/>
        <w:autoSpaceDN/>
        <w:bidi w:val="0"/>
        <w:spacing w:beforeLines="0" w:before="50" w:line="520" w:lineRule="exact"/>
        <w:ind w:firstLineChars="200" w:firstLine="640"/>
        <w:jc w:val="both"/>
        <w:textAlignment w:val="auto"/>
        <w:rPr>
          <w:rFonts w:ascii="黑体" w:eastAsia="黑体" w:hint="eastAsia"/>
          <w:color w:val="auto"/>
          <w:sz w:val="32"/>
          <w:szCs w:val="32"/>
        </w:rPr>
      </w:pPr>
      <w:r>
        <w:rPr>
          <w:rFonts w:ascii="黑体" w:eastAsia="黑体" w:hint="eastAsia"/>
          <w:color w:val="auto"/>
          <w:sz w:val="32"/>
          <w:szCs w:val="32"/>
        </w:rPr>
        <w:t>目    录</w:t>
      </w:r>
    </w:p>
    <w:p>
      <w:pPr>
        <w:keepNext w:val="0"/>
        <w:keepLines w:val="0"/>
        <w:pageBreakBefore w:val="0"/>
        <w:widowControl/>
        <w:kinsoku/>
        <w:wordWrap/>
        <w:overflowPunct/>
        <w:topLinePunct w:val="0"/>
        <w:autoSpaceDE/>
        <w:autoSpaceDN/>
        <w:bidi w:val="0"/>
        <w:spacing w:beforeLines="0" w:before="50" w:line="520" w:lineRule="exact"/>
        <w:ind w:firstLineChars="200" w:firstLine="640"/>
        <w:jc w:val="both"/>
        <w:textAlignment w:val="auto"/>
        <w:rPr>
          <w:rFonts w:ascii="黑体" w:eastAsia="黑体" w:hint="eastAsia"/>
          <w:color w:val="auto"/>
          <w:sz w:val="32"/>
          <w:szCs w:val="32"/>
        </w:rPr>
      </w:pPr>
      <w:r>
        <w:rPr>
          <w:rFonts w:ascii="Times New Roman" w:eastAsia="仿宋_GB2312" w:hAnsi="Times New Roman"/>
          <w:color w:val="auto"/>
          <w:sz w:val="32"/>
          <w:szCs w:val="32"/>
        </w:rPr>
        <w:t>第一章  总则</w:t>
      </w:r>
    </w:p>
    <w:p>
      <w:pPr>
        <w:keepNext w:val="0"/>
        <w:keepLines w:val="0"/>
        <w:pageBreakBefore w:val="0"/>
        <w:widowControl/>
        <w:kinsoku/>
        <w:wordWrap/>
        <w:overflowPunct/>
        <w:topLinePunct w:val="0"/>
        <w:autoSpaceDE/>
        <w:autoSpaceDN/>
        <w:bidi w:val="0"/>
        <w:spacing w:beforeLines="0" w:before="0" w:line="520" w:lineRule="exact"/>
        <w:ind w:firstLineChars="200" w:firstLine="640"/>
        <w:jc w:val="both"/>
        <w:textAlignment w:val="auto"/>
        <w:rPr>
          <w:rFonts w:ascii="Times New Roman" w:eastAsia="仿宋_GB2312" w:hAnsi="Times New Roman" w:hint="eastAsia"/>
          <w:color w:val="auto"/>
          <w:sz w:val="32"/>
          <w:szCs w:val="32"/>
        </w:rPr>
      </w:pPr>
      <w:r>
        <w:rPr>
          <w:rFonts w:ascii="Times New Roman" w:eastAsia="仿宋_GB2312" w:hAnsi="Times New Roman"/>
          <w:color w:val="auto"/>
          <w:sz w:val="32"/>
          <w:szCs w:val="32"/>
        </w:rPr>
        <w:t xml:space="preserve">第二章  </w:t>
      </w:r>
      <w:r>
        <w:rPr>
          <w:rFonts w:ascii="Times New Roman" w:eastAsia="仿宋_GB2312" w:hAnsi="Times New Roman" w:hint="eastAsia"/>
          <w:color w:val="auto"/>
          <w:sz w:val="32"/>
          <w:szCs w:val="32"/>
        </w:rPr>
        <w:t>动员和组织</w:t>
      </w:r>
    </w:p>
    <w:p>
      <w:pPr>
        <w:keepNext w:val="0"/>
        <w:keepLines w:val="0"/>
        <w:pageBreakBefore w:val="0"/>
        <w:widowControl/>
        <w:kinsoku/>
        <w:wordWrap/>
        <w:overflowPunct/>
        <w:topLinePunct w:val="0"/>
        <w:autoSpaceDE/>
        <w:autoSpaceDN/>
        <w:bidi w:val="0"/>
        <w:spacing w:beforeLines="0" w:before="0" w:line="520" w:lineRule="exact"/>
        <w:ind w:firstLineChars="200" w:firstLine="640"/>
        <w:jc w:val="both"/>
        <w:textAlignment w:val="auto"/>
        <w:rPr>
          <w:rFonts w:ascii="Times New Roman" w:eastAsia="仿宋_GB2312" w:hAnsi="Times New Roman"/>
          <w:color w:val="auto"/>
          <w:sz w:val="32"/>
          <w:szCs w:val="32"/>
        </w:rPr>
      </w:pPr>
      <w:r>
        <w:rPr>
          <w:rFonts w:ascii="Times New Roman" w:eastAsia="仿宋_GB2312" w:hAnsi="Times New Roman"/>
          <w:color w:val="auto"/>
          <w:sz w:val="32"/>
          <w:szCs w:val="32"/>
        </w:rPr>
        <w:t xml:space="preserve">第三章  </w:t>
      </w:r>
      <w:r>
        <w:rPr>
          <w:rFonts w:ascii="Times New Roman" w:eastAsia="仿宋_GB2312" w:hAnsi="Times New Roman" w:hint="eastAsia"/>
          <w:color w:val="auto"/>
          <w:sz w:val="32"/>
          <w:szCs w:val="32"/>
        </w:rPr>
        <w:t>采血与供血</w:t>
      </w:r>
    </w:p>
    <w:p>
      <w:pPr>
        <w:keepNext w:val="0"/>
        <w:keepLines w:val="0"/>
        <w:pageBreakBefore w:val="0"/>
        <w:widowControl/>
        <w:kinsoku/>
        <w:wordWrap/>
        <w:overflowPunct/>
        <w:topLinePunct w:val="0"/>
        <w:autoSpaceDE/>
        <w:autoSpaceDN/>
        <w:bidi w:val="0"/>
        <w:spacing w:beforeLines="0" w:before="0" w:line="520" w:lineRule="exact"/>
        <w:ind w:firstLineChars="200" w:firstLine="640"/>
        <w:jc w:val="both"/>
        <w:textAlignment w:val="auto"/>
        <w:rPr>
          <w:rFonts w:ascii="Times New Roman" w:eastAsia="仿宋_GB2312" w:hAnsi="Times New Roman" w:hint="eastAsia"/>
          <w:color w:val="auto"/>
          <w:sz w:val="32"/>
          <w:szCs w:val="32"/>
          <w:lang w:val="en-US" w:eastAsia="zh-CN"/>
        </w:rPr>
      </w:pPr>
      <w:r>
        <w:rPr>
          <w:rFonts w:ascii="Times New Roman" w:eastAsia="仿宋_GB2312" w:hAnsi="Times New Roman"/>
          <w:color w:val="auto"/>
          <w:sz w:val="32"/>
          <w:szCs w:val="32"/>
        </w:rPr>
        <w:t xml:space="preserve">第四章  </w:t>
      </w:r>
      <w:r>
        <w:rPr>
          <w:rFonts w:ascii="Times New Roman" w:eastAsia="仿宋_GB2312" w:hAnsi="Times New Roman" w:hint="eastAsia"/>
          <w:color w:val="auto"/>
          <w:sz w:val="32"/>
          <w:szCs w:val="32"/>
          <w:lang w:val="en-US" w:eastAsia="zh-CN"/>
        </w:rPr>
        <w:t>临床用血</w:t>
      </w:r>
    </w:p>
    <w:p>
      <w:pPr>
        <w:keepNext w:val="0"/>
        <w:keepLines w:val="0"/>
        <w:pageBreakBefore w:val="0"/>
        <w:widowControl/>
        <w:kinsoku/>
        <w:wordWrap/>
        <w:overflowPunct/>
        <w:topLinePunct w:val="0"/>
        <w:autoSpaceDE/>
        <w:autoSpaceDN/>
        <w:bidi w:val="0"/>
        <w:spacing w:beforeLines="0" w:before="0" w:line="520" w:lineRule="exact"/>
        <w:ind w:firstLineChars="200" w:firstLine="640"/>
        <w:jc w:val="both"/>
        <w:textAlignment w:val="auto"/>
        <w:rPr>
          <w:rFonts w:ascii="Times New Roman" w:eastAsia="仿宋_GB2312" w:hAnsi="Times New Roman"/>
          <w:color w:val="auto"/>
          <w:sz w:val="32"/>
          <w:szCs w:val="32"/>
        </w:rPr>
      </w:pPr>
      <w:r>
        <w:rPr>
          <w:rFonts w:ascii="Times New Roman" w:eastAsia="仿宋_GB2312" w:hAnsi="Times New Roman"/>
          <w:color w:val="auto"/>
          <w:sz w:val="32"/>
          <w:szCs w:val="32"/>
        </w:rPr>
        <w:t xml:space="preserve">第五章  </w:t>
      </w:r>
      <w:r>
        <w:rPr>
          <w:rFonts w:ascii="Times New Roman" w:eastAsia="仿宋_GB2312" w:hAnsi="Times New Roman" w:hint="eastAsia"/>
          <w:color w:val="auto"/>
          <w:sz w:val="32"/>
          <w:szCs w:val="32"/>
        </w:rPr>
        <w:t>激励与优待</w:t>
      </w:r>
    </w:p>
    <w:p>
      <w:pPr>
        <w:keepNext w:val="0"/>
        <w:keepLines w:val="0"/>
        <w:pageBreakBefore w:val="0"/>
        <w:widowControl/>
        <w:kinsoku/>
        <w:wordWrap/>
        <w:overflowPunct/>
        <w:topLinePunct w:val="0"/>
        <w:autoSpaceDE/>
        <w:autoSpaceDN/>
        <w:bidi w:val="0"/>
        <w:spacing w:beforeLines="0" w:before="0" w:line="520" w:lineRule="exact"/>
        <w:ind w:firstLineChars="200" w:firstLine="640"/>
        <w:jc w:val="both"/>
        <w:textAlignment w:val="auto"/>
        <w:rPr>
          <w:rFonts w:ascii="Times New Roman" w:eastAsia="仿宋_GB2312" w:hAnsi="Times New Roman"/>
          <w:color w:val="auto"/>
          <w:sz w:val="32"/>
          <w:szCs w:val="32"/>
        </w:rPr>
      </w:pPr>
      <w:r>
        <w:rPr>
          <w:rFonts w:ascii="Times New Roman" w:eastAsia="仿宋_GB2312" w:hAnsi="Times New Roman"/>
          <w:color w:val="auto"/>
          <w:sz w:val="32"/>
          <w:szCs w:val="32"/>
        </w:rPr>
        <w:t>第六章</w:t>
      </w:r>
      <w:r>
        <w:rPr>
          <w:rFonts w:ascii="Times New Roman" w:eastAsia="仿宋_GB2312" w:hAnsi="Times New Roman" w:hint="eastAsia"/>
          <w:color w:val="auto"/>
          <w:sz w:val="32"/>
          <w:szCs w:val="32"/>
          <w:lang w:val="en-US" w:eastAsia="zh-CN"/>
        </w:rPr>
        <w:t xml:space="preserve"> </w:t>
      </w:r>
      <w:r>
        <w:rPr>
          <w:rFonts w:ascii="Times New Roman" w:eastAsia="仿宋_GB2312" w:hAnsi="Times New Roman"/>
          <w:color w:val="auto"/>
          <w:sz w:val="32"/>
          <w:szCs w:val="32"/>
        </w:rPr>
        <w:t xml:space="preserve"> </w:t>
      </w:r>
      <w:r>
        <w:rPr>
          <w:rFonts w:ascii="Times New Roman" w:eastAsia="仿宋_GB2312" w:hAnsi="Times New Roman" w:hint="eastAsia"/>
          <w:color w:val="auto"/>
          <w:sz w:val="32"/>
          <w:szCs w:val="32"/>
          <w:lang w:val="en-US" w:eastAsia="zh-CN"/>
        </w:rPr>
        <w:t>法律责任</w:t>
      </w:r>
    </w:p>
    <w:p>
      <w:pPr>
        <w:keepNext w:val="0"/>
        <w:keepLines w:val="0"/>
        <w:pageBreakBefore w:val="0"/>
        <w:widowControl/>
        <w:kinsoku/>
        <w:wordWrap/>
        <w:overflowPunct/>
        <w:topLinePunct w:val="0"/>
        <w:autoSpaceDE/>
        <w:autoSpaceDN/>
        <w:bidi w:val="0"/>
        <w:spacing w:beforeLines="0" w:before="0" w:line="520" w:lineRule="exact"/>
        <w:ind w:firstLineChars="200" w:firstLine="640"/>
        <w:jc w:val="both"/>
        <w:textAlignment w:val="auto"/>
        <w:rPr>
          <w:rFonts w:ascii="Times New Roman" w:eastAsia="仿宋_GB2312" w:hAnsi="Times New Roman" w:hint="eastAsia"/>
          <w:color w:val="auto"/>
          <w:sz w:val="32"/>
          <w:szCs w:val="32"/>
          <w:lang w:eastAsia="zh-CN"/>
        </w:rPr>
      </w:pPr>
      <w:r>
        <w:rPr>
          <w:rFonts w:ascii="Times New Roman" w:eastAsia="仿宋_GB2312" w:hAnsi="Times New Roman"/>
          <w:color w:val="auto"/>
          <w:sz w:val="32"/>
          <w:szCs w:val="32"/>
        </w:rPr>
        <w:t>第</w:t>
      </w:r>
      <w:r>
        <w:rPr>
          <w:rFonts w:ascii="Times New Roman" w:eastAsia="仿宋_GB2312" w:hAnsi="Times New Roman" w:hint="eastAsia"/>
          <w:color w:val="auto"/>
          <w:sz w:val="32"/>
          <w:szCs w:val="32"/>
          <w:lang w:val="en-US" w:eastAsia="zh-CN"/>
        </w:rPr>
        <w:t>七</w:t>
      </w:r>
      <w:r>
        <w:rPr>
          <w:rFonts w:ascii="Times New Roman" w:eastAsia="仿宋_GB2312" w:hAnsi="Times New Roman"/>
          <w:color w:val="auto"/>
          <w:sz w:val="32"/>
          <w:szCs w:val="32"/>
        </w:rPr>
        <w:t xml:space="preserve">章 </w:t>
      </w:r>
      <w:r>
        <w:rPr>
          <w:rFonts w:ascii="Times New Roman" w:eastAsia="仿宋_GB2312" w:hAnsi="Times New Roman" w:hint="eastAsia"/>
          <w:color w:val="auto"/>
          <w:sz w:val="32"/>
          <w:szCs w:val="32"/>
          <w:lang w:val="en-US" w:eastAsia="zh-CN"/>
        </w:rPr>
        <w:t xml:space="preserve"> 附则</w:t>
      </w:r>
    </w:p>
    <w:p>
      <w:pPr>
        <w:pStyle w:val="1"/>
        <w:keepNext w:val="0"/>
        <w:keepLines w:val="0"/>
        <w:pageBreakBefore w:val="0"/>
        <w:widowControl/>
        <w:kinsoku/>
        <w:wordWrap/>
        <w:overflowPunct/>
        <w:topLinePunct w:val="0"/>
        <w:autoSpaceDE/>
        <w:autoSpaceDN/>
        <w:bidi w:val="0"/>
        <w:adjustRightInd/>
        <w:snapToGrid/>
        <w:spacing w:beforeLines="0" w:before="100" w:afterLines="0" w:after="0" w:line="520" w:lineRule="exact"/>
        <w:ind w:firstLineChars="200" w:firstLine="640"/>
        <w:jc w:val="center"/>
        <w:textAlignment w:val="auto"/>
        <w:rPr>
          <w:rFonts w:ascii="黑体" w:eastAsia="黑体" w:cs="黑体"/>
          <w:b w:val="0"/>
          <w:bCs w:val="0"/>
          <w:color w:val="auto"/>
          <w:sz w:val="32"/>
          <w:szCs w:val="32"/>
        </w:rPr>
      </w:pPr>
      <w:bookmarkStart w:id="0" w:name="_Toc6BB33E56069CA482D622B8A786EF3E8C"/>
    </w:p>
    <w:p>
      <w:pPr>
        <w:pStyle w:val="1"/>
        <w:keepNext w:val="0"/>
        <w:keepLines w:val="0"/>
        <w:pageBreakBefore w:val="0"/>
        <w:widowControl/>
        <w:kinsoku/>
        <w:wordWrap/>
        <w:overflowPunct/>
        <w:topLinePunct w:val="0"/>
        <w:autoSpaceDE/>
        <w:autoSpaceDN/>
        <w:bidi w:val="0"/>
        <w:adjustRightInd/>
        <w:snapToGrid/>
        <w:spacing w:beforeLines="0" w:before="100" w:afterLines="0" w:after="0" w:line="520" w:lineRule="exact"/>
        <w:ind w:firstLineChars="200" w:firstLine="640"/>
        <w:jc w:val="center"/>
        <w:textAlignment w:val="auto"/>
        <w:rPr>
          <w:rFonts w:ascii="黑体" w:eastAsia="黑体" w:cs="黑体"/>
          <w:b w:val="0"/>
          <w:bCs w:val="0"/>
          <w:color w:val="auto"/>
          <w:sz w:val="32"/>
          <w:szCs w:val="32"/>
        </w:rPr>
      </w:pPr>
    </w:p>
    <w:p>
      <w:pPr>
        <w:pStyle w:val="1"/>
        <w:keepNext w:val="0"/>
        <w:keepLines w:val="0"/>
        <w:pageBreakBefore w:val="0"/>
        <w:widowControl/>
        <w:kinsoku/>
        <w:wordWrap/>
        <w:overflowPunct/>
        <w:topLinePunct w:val="0"/>
        <w:autoSpaceDE/>
        <w:autoSpaceDN/>
        <w:bidi w:val="0"/>
        <w:adjustRightInd/>
        <w:snapToGrid/>
        <w:spacing w:beforeLines="0" w:before="100" w:afterLines="0" w:after="0" w:line="520" w:lineRule="exact"/>
        <w:ind w:firstLineChars="200" w:firstLine="640"/>
        <w:jc w:val="center"/>
        <w:textAlignment w:val="auto"/>
        <w:rPr>
          <w:rFonts w:ascii="黑体" w:eastAsia="黑体" w:cs="黑体" w:hint="eastAsia"/>
          <w:b w:val="0"/>
          <w:bCs w:val="0"/>
          <w:color w:val="auto"/>
          <w:sz w:val="32"/>
          <w:szCs w:val="32"/>
        </w:rPr>
      </w:pPr>
      <w:r>
        <w:rPr>
          <w:rFonts w:ascii="黑体" w:eastAsia="黑体" w:cs="黑体" w:hint="eastAsia"/>
          <w:b w:val="0"/>
          <w:bCs w:val="0"/>
          <w:color w:val="auto"/>
          <w:sz w:val="32"/>
          <w:szCs w:val="32"/>
        </w:rPr>
        <w:t>第一章　总则</w:t>
      </w:r>
      <w:bookmarkEnd w:id="0"/>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b w:val="0"/>
          <w:bCs/>
          <w:color w:val="auto"/>
          <w:sz w:val="32"/>
          <w:szCs w:val="32"/>
          <w:lang w:eastAsia="zh-CN"/>
        </w:rPr>
        <w:t>第一条</w:t>
      </w:r>
      <w:r>
        <w:rPr>
          <w:rFonts w:ascii="仿宋" w:eastAsia="仿宋" w:cs="仿宋" w:hint="eastAsia"/>
          <w:b w:val="0"/>
          <w:bCs/>
          <w:color w:val="auto"/>
          <w:sz w:val="32"/>
          <w:szCs w:val="32"/>
          <w:lang w:val="en-US" w:eastAsia="zh-CN"/>
        </w:rPr>
        <w:t xml:space="preserve">  </w:t>
      </w:r>
      <w:r>
        <w:rPr>
          <w:rFonts w:ascii="仿宋" w:eastAsia="仿宋" w:cs="仿宋" w:hint="eastAsia"/>
          <w:b w:val="0"/>
          <w:bCs/>
          <w:color w:val="auto"/>
          <w:sz w:val="32"/>
          <w:szCs w:val="32"/>
          <w:lang w:eastAsia="zh-CN"/>
        </w:rPr>
        <w:t>【立法目的】</w:t>
      </w:r>
      <w:r>
        <w:rPr>
          <w:rFonts w:ascii="仿宋" w:eastAsia="仿宋" w:cs="仿宋" w:hint="eastAsia"/>
          <w:color w:val="auto"/>
          <w:sz w:val="32"/>
          <w:szCs w:val="32"/>
          <w:lang w:eastAsia="zh-CN"/>
        </w:rPr>
        <w:t>为保证医疗临床用血的需要和安全，保障献血者和用血者身体健康，发扬人道主义精神，动员和组织公民无偿献血，根据《中华人民共和国献血法》《江苏省献血条例》</w:t>
      </w:r>
      <w:r>
        <w:rPr>
          <w:rFonts w:ascii="仿宋" w:eastAsia="仿宋" w:cs="仿宋"/>
          <w:color w:val="auto"/>
          <w:sz w:val="32"/>
          <w:szCs w:val="32"/>
          <w:lang w:eastAsia="zh-CN"/>
        </w:rPr>
        <w:t>等</w:t>
      </w:r>
      <w:r>
        <w:rPr>
          <w:rFonts w:ascii="仿宋" w:eastAsia="仿宋" w:cs="仿宋" w:hint="eastAsia"/>
          <w:color w:val="auto"/>
          <w:sz w:val="32"/>
          <w:szCs w:val="32"/>
          <w:lang w:eastAsia="zh-CN"/>
        </w:rPr>
        <w:t>有关法律、法规，结合本市实际，制定本条例。</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第二条</w:t>
      </w:r>
      <w:r>
        <w:rPr>
          <w:rFonts w:ascii="仿宋" w:eastAsia="仿宋" w:cs="仿宋" w:hint="eastAsia"/>
          <w:color w:val="auto"/>
          <w:sz w:val="32"/>
          <w:szCs w:val="32"/>
          <w:lang w:val="en-US" w:eastAsia="zh-CN"/>
        </w:rPr>
        <w:t xml:space="preserve">  </w:t>
      </w:r>
      <w:r>
        <w:rPr>
          <w:rFonts w:ascii="Times New Roman" w:eastAsia="仿宋_GB2312" w:hAnsi="Times New Roman"/>
          <w:color w:val="auto"/>
          <w:sz w:val="32"/>
          <w:szCs w:val="32"/>
          <w:highlight w:val="auto"/>
        </w:rPr>
        <w:t>【适用范围】</w:t>
      </w:r>
      <w:r>
        <w:rPr>
          <w:rFonts w:ascii="仿宋" w:eastAsia="仿宋" w:cs="仿宋" w:hint="eastAsia"/>
          <w:color w:val="auto"/>
          <w:sz w:val="32"/>
          <w:szCs w:val="32"/>
          <w:lang w:eastAsia="zh-CN"/>
        </w:rPr>
        <w:t>本</w:t>
      </w:r>
      <w:r>
        <w:rPr>
          <w:rFonts w:ascii="仿宋" w:eastAsia="仿宋" w:cs="仿宋" w:hint="eastAsia"/>
          <w:color w:val="auto"/>
          <w:sz w:val="32"/>
          <w:szCs w:val="32"/>
          <w:lang w:val="en-US" w:eastAsia="zh-CN"/>
        </w:rPr>
        <w:t>市</w:t>
      </w:r>
      <w:r>
        <w:rPr>
          <w:rFonts w:ascii="仿宋" w:eastAsia="仿宋" w:cs="仿宋" w:hint="eastAsia"/>
          <w:color w:val="auto"/>
          <w:sz w:val="32"/>
          <w:szCs w:val="32"/>
          <w:lang w:eastAsia="zh-CN"/>
        </w:rPr>
        <w:t>依法实行公民无偿献血制度。</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提倡十八周岁至五十五周岁（以下称适龄）的健康公民自愿献血；既往无献血反应、符合健康检查要求的多次献血者，自愿献血的年龄可以延长至六十周岁。</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鼓励符合献血条件的国家工作人员、现役军人、医务人员、</w:t>
      </w:r>
      <w:r>
        <w:rPr>
          <w:rFonts w:ascii="仿宋" w:eastAsia="仿宋" w:cs="仿宋" w:hint="eastAsia"/>
          <w:color w:val="auto"/>
          <w:sz w:val="32"/>
          <w:szCs w:val="32"/>
          <w:lang w:val="en-US" w:eastAsia="zh-CN"/>
        </w:rPr>
        <w:t>教师</w:t>
      </w:r>
      <w:r>
        <w:rPr>
          <w:rFonts w:ascii="仿宋" w:eastAsia="仿宋" w:cs="仿宋" w:hint="eastAsia"/>
          <w:color w:val="auto"/>
          <w:sz w:val="32"/>
          <w:szCs w:val="32"/>
          <w:lang w:eastAsia="zh-CN"/>
        </w:rPr>
        <w:t>每两年献血一次以上，</w:t>
      </w:r>
      <w:r>
        <w:rPr>
          <w:rFonts w:ascii="仿宋" w:eastAsia="仿宋" w:cs="仿宋" w:hint="eastAsia"/>
          <w:color w:val="auto"/>
          <w:sz w:val="32"/>
          <w:szCs w:val="32"/>
          <w:lang w:val="en-US" w:eastAsia="zh-CN"/>
        </w:rPr>
        <w:t>高等学校在校学生</w:t>
      </w:r>
      <w:r>
        <w:rPr>
          <w:rFonts w:ascii="仿宋" w:eastAsia="仿宋" w:cs="仿宋" w:hint="eastAsia"/>
          <w:color w:val="auto"/>
          <w:sz w:val="32"/>
          <w:szCs w:val="32"/>
          <w:lang w:eastAsia="zh-CN"/>
        </w:rPr>
        <w:t>在校期间献血一次以上。</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鼓励符合献血条件的公民多次、定期献血以及捐献造血干细胞。</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第三条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【组织领导】</w:t>
      </w: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人民政府应当加强对献血工作的领导，将献血工作纳入本级卫生事业发展规划和年度目标考核，保障献血工作所需经费，加强采供血专业队伍建设，根据采供血服务规模合理配备人员、设施和设备，建立献血工作联席会议制度，统一规划并组织、协调有关部门共同做好献血工作。</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县（区）卫生健康行政部门主管本行政区域内的献血工作，依法行使监督管理职责。</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乡（镇）人民政府、街道办事处应当配合做好献血相关工作。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w:t>
      </w:r>
      <w:r>
        <w:rPr>
          <w:rFonts w:ascii="仿宋" w:eastAsia="仿宋" w:cs="仿宋" w:hint="eastAsia"/>
          <w:color w:val="auto"/>
          <w:sz w:val="32"/>
          <w:szCs w:val="32"/>
          <w:lang w:val="en-US" w:eastAsia="zh-CN"/>
        </w:rPr>
        <w:t>四</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协同推进</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发展改革、教育、公安、司法行政、财政、人力资源社会保障、自然资源</w:t>
      </w:r>
      <w:r>
        <w:rPr>
          <w:rFonts w:ascii="仿宋" w:eastAsia="仿宋" w:cs="仿宋" w:hint="eastAsia"/>
          <w:color w:val="auto"/>
          <w:sz w:val="32"/>
          <w:szCs w:val="32"/>
          <w:lang w:val="en-US" w:eastAsia="zh-CN"/>
        </w:rPr>
        <w:t>和</w:t>
      </w:r>
      <w:r>
        <w:rPr>
          <w:rFonts w:ascii="仿宋" w:eastAsia="仿宋" w:cs="仿宋" w:hint="eastAsia"/>
          <w:color w:val="auto"/>
          <w:sz w:val="32"/>
          <w:szCs w:val="32"/>
          <w:lang w:eastAsia="zh-CN"/>
        </w:rPr>
        <w:t>规划、住房城乡建设、城市管理、交通运输、文广旅游、应急管理、</w:t>
      </w:r>
      <w:r>
        <w:rPr>
          <w:rFonts w:ascii="仿宋" w:eastAsia="仿宋" w:cs="仿宋" w:hint="eastAsia"/>
          <w:color w:val="auto"/>
          <w:sz w:val="32"/>
          <w:szCs w:val="32"/>
          <w:lang w:val="en-US" w:eastAsia="zh-CN"/>
        </w:rPr>
        <w:t>市场监督管理、审计、</w:t>
      </w:r>
      <w:r>
        <w:rPr>
          <w:rFonts w:ascii="仿宋" w:eastAsia="仿宋" w:cs="仿宋" w:hint="eastAsia"/>
          <w:color w:val="auto"/>
          <w:sz w:val="32"/>
          <w:szCs w:val="32"/>
          <w:lang w:eastAsia="zh-CN"/>
        </w:rPr>
        <w:t>医疗保障等部门应当按照各自职责，共同做好献血工作。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b w:val="0"/>
          <w:bCs/>
          <w:color w:val="auto"/>
          <w:sz w:val="32"/>
          <w:szCs w:val="32"/>
          <w:lang w:eastAsia="zh-CN"/>
        </w:rPr>
        <w:t>红十字会依法参与、推动献血工作，并依法参与开展造血干细胞捐献的相关工作。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b w:val="0"/>
          <w:bCs/>
          <w:color w:val="auto"/>
          <w:sz w:val="32"/>
          <w:szCs w:val="32"/>
          <w:lang w:eastAsia="zh-CN"/>
        </w:rPr>
        <w:t>工会、共青团、妇联等人民团体应当协助做好献血工作。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val="0"/>
          <w:color w:val="auto"/>
          <w:sz w:val="32"/>
          <w:szCs w:val="32"/>
          <w:lang w:eastAsia="zh-CN"/>
        </w:rPr>
      </w:pPr>
      <w:r>
        <w:rPr>
          <w:rFonts w:ascii="仿宋" w:eastAsia="仿宋" w:cs="仿宋" w:hint="eastAsia"/>
          <w:b w:val="0"/>
          <w:bCs w:val="0"/>
          <w:color w:val="auto"/>
          <w:sz w:val="32"/>
          <w:szCs w:val="32"/>
          <w:lang w:eastAsia="zh-CN"/>
        </w:rPr>
        <w:t>第</w:t>
      </w:r>
      <w:r>
        <w:rPr>
          <w:rFonts w:ascii="仿宋" w:eastAsia="仿宋" w:cs="仿宋" w:hint="eastAsia"/>
          <w:b w:val="0"/>
          <w:bCs w:val="0"/>
          <w:color w:val="auto"/>
          <w:sz w:val="32"/>
          <w:szCs w:val="32"/>
          <w:lang w:val="en-US" w:eastAsia="zh-CN"/>
        </w:rPr>
        <w:t>五</w:t>
      </w:r>
      <w:r>
        <w:rPr>
          <w:rFonts w:ascii="仿宋" w:eastAsia="仿宋" w:cs="仿宋" w:hint="eastAsia"/>
          <w:b w:val="0"/>
          <w:bCs w:val="0"/>
          <w:color w:val="auto"/>
          <w:sz w:val="32"/>
          <w:szCs w:val="32"/>
          <w:lang w:eastAsia="zh-CN"/>
        </w:rPr>
        <w:t>条</w:t>
      </w:r>
      <w:r>
        <w:rPr>
          <w:rFonts w:ascii="Times New Roman" w:eastAsia="仿宋_GB2312" w:hAnsi="Times New Roman" w:hint="eastAsia"/>
          <w:b w:val="0"/>
          <w:bCs w:val="0"/>
          <w:color w:val="auto"/>
          <w:sz w:val="32"/>
          <w:szCs w:val="32"/>
          <w:lang w:val="en-US" w:eastAsia="zh-CN"/>
          <w:highlight w:val="auto"/>
        </w:rPr>
        <w:t xml:space="preserve">  </w:t>
      </w:r>
      <w:r>
        <w:rPr>
          <w:rFonts w:ascii="Times New Roman" w:eastAsia="仿宋_GB2312" w:hAnsi="Times New Roman"/>
          <w:b w:val="0"/>
          <w:bCs w:val="0"/>
          <w:color w:val="auto"/>
          <w:sz w:val="32"/>
          <w:szCs w:val="32"/>
          <w:highlight w:val="auto"/>
        </w:rPr>
        <w:t>【</w:t>
      </w:r>
      <w:r>
        <w:rPr>
          <w:rFonts w:ascii="Times New Roman" w:eastAsia="仿宋_GB2312" w:hAnsi="Times New Roman" w:hint="eastAsia"/>
          <w:b w:val="0"/>
          <w:bCs w:val="0"/>
          <w:color w:val="auto"/>
          <w:sz w:val="32"/>
          <w:szCs w:val="32"/>
          <w:lang w:val="en-US" w:eastAsia="zh-CN"/>
          <w:highlight w:val="auto"/>
        </w:rPr>
        <w:t>设置规划</w:t>
      </w:r>
      <w:r>
        <w:rPr>
          <w:rFonts w:ascii="Times New Roman" w:eastAsia="仿宋_GB2312" w:hAnsi="Times New Roman"/>
          <w:b w:val="0"/>
          <w:bCs w:val="0"/>
          <w:color w:val="auto"/>
          <w:sz w:val="32"/>
          <w:szCs w:val="32"/>
          <w:highlight w:val="auto"/>
        </w:rPr>
        <w:t>】</w:t>
      </w:r>
      <w:r>
        <w:rPr>
          <w:rFonts w:ascii="仿宋" w:eastAsia="仿宋" w:cs="仿宋" w:hint="eastAsia"/>
          <w:b w:val="0"/>
          <w:bCs w:val="0"/>
          <w:color w:val="auto"/>
          <w:sz w:val="32"/>
          <w:szCs w:val="32"/>
          <w:lang w:eastAsia="zh-CN"/>
        </w:rPr>
        <w:t>市、县（区）人民政府应当按照城乡统筹、方便献血的原则，合理规划布局采血点。</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val="0"/>
          <w:color w:val="auto"/>
          <w:sz w:val="32"/>
          <w:szCs w:val="32"/>
          <w:lang w:eastAsia="zh-CN"/>
        </w:rPr>
      </w:pPr>
      <w:r>
        <w:rPr>
          <w:rFonts w:ascii="仿宋" w:eastAsia="仿宋" w:cs="仿宋" w:hint="eastAsia"/>
          <w:b w:val="0"/>
          <w:bCs w:val="0"/>
          <w:color w:val="auto"/>
          <w:sz w:val="32"/>
          <w:szCs w:val="32"/>
          <w:lang w:val="en-US" w:eastAsia="zh-CN"/>
        </w:rPr>
        <w:t>自然资源和</w:t>
      </w:r>
      <w:r>
        <w:rPr>
          <w:rFonts w:ascii="仿宋" w:eastAsia="仿宋" w:cs="仿宋" w:hint="eastAsia"/>
          <w:b w:val="0"/>
          <w:bCs w:val="0"/>
          <w:color w:val="auto"/>
          <w:sz w:val="32"/>
          <w:szCs w:val="32"/>
          <w:lang w:eastAsia="zh-CN"/>
        </w:rPr>
        <w:t>规划部门应当将</w:t>
      </w:r>
      <w:r>
        <w:rPr>
          <w:rFonts w:ascii="仿宋" w:eastAsia="仿宋" w:cs="仿宋" w:hint="eastAsia"/>
          <w:b w:val="0"/>
          <w:bCs w:val="0"/>
          <w:color w:val="auto"/>
          <w:sz w:val="32"/>
          <w:szCs w:val="32"/>
          <w:lang w:val="en-US" w:eastAsia="zh-CN"/>
        </w:rPr>
        <w:t>采血点</w:t>
      </w:r>
      <w:r>
        <w:rPr>
          <w:rFonts w:ascii="仿宋" w:eastAsia="仿宋" w:cs="仿宋" w:hint="eastAsia"/>
          <w:b w:val="0"/>
          <w:bCs w:val="0"/>
          <w:color w:val="auto"/>
          <w:sz w:val="32"/>
          <w:szCs w:val="32"/>
          <w:lang w:eastAsia="zh-CN"/>
        </w:rPr>
        <w:t>建设纳入</w:t>
      </w:r>
      <w:r>
        <w:rPr>
          <w:rFonts w:ascii="仿宋" w:eastAsia="仿宋" w:cs="仿宋" w:hint="eastAsia"/>
          <w:b w:val="0"/>
          <w:bCs w:val="0"/>
          <w:color w:val="auto"/>
          <w:sz w:val="32"/>
          <w:szCs w:val="32"/>
          <w:lang w:val="en-US" w:eastAsia="zh-CN"/>
        </w:rPr>
        <w:t>国土空间规划</w:t>
      </w:r>
      <w:r>
        <w:rPr>
          <w:rFonts w:ascii="仿宋" w:eastAsia="仿宋" w:cs="仿宋" w:hint="eastAsia"/>
          <w:b w:val="0"/>
          <w:bCs w:val="0"/>
          <w:color w:val="auto"/>
          <w:sz w:val="32"/>
          <w:szCs w:val="32"/>
          <w:lang w:eastAsia="zh-CN"/>
        </w:rPr>
        <w:t>，按照方便无偿献血者献血的原则，在卫生</w:t>
      </w:r>
      <w:r>
        <w:rPr>
          <w:rFonts w:ascii="仿宋" w:eastAsia="仿宋" w:cs="仿宋" w:hint="eastAsia"/>
          <w:b w:val="0"/>
          <w:bCs w:val="0"/>
          <w:color w:val="auto"/>
          <w:sz w:val="32"/>
          <w:szCs w:val="32"/>
          <w:lang w:val="en-US" w:eastAsia="zh-CN"/>
        </w:rPr>
        <w:t>健康</w:t>
      </w:r>
      <w:r>
        <w:rPr>
          <w:rFonts w:ascii="仿宋" w:eastAsia="仿宋" w:cs="仿宋" w:hint="eastAsia"/>
          <w:b w:val="0"/>
          <w:bCs w:val="0"/>
          <w:color w:val="auto"/>
          <w:sz w:val="32"/>
          <w:szCs w:val="32"/>
          <w:lang w:eastAsia="zh-CN"/>
        </w:rPr>
        <w:t>行政部门提出</w:t>
      </w:r>
      <w:r>
        <w:rPr>
          <w:rFonts w:ascii="仿宋" w:eastAsia="仿宋" w:cs="仿宋" w:hint="eastAsia"/>
          <w:b w:val="0"/>
          <w:bCs w:val="0"/>
          <w:color w:val="auto"/>
          <w:sz w:val="32"/>
          <w:szCs w:val="32"/>
          <w:lang w:val="en-US" w:eastAsia="zh-CN"/>
        </w:rPr>
        <w:t>采血点</w:t>
      </w:r>
      <w:r>
        <w:rPr>
          <w:rFonts w:ascii="仿宋" w:eastAsia="仿宋" w:cs="仿宋" w:hint="eastAsia"/>
          <w:b w:val="0"/>
          <w:bCs w:val="0"/>
          <w:color w:val="auto"/>
          <w:sz w:val="32"/>
          <w:szCs w:val="32"/>
          <w:lang w:eastAsia="zh-CN"/>
        </w:rPr>
        <w:t>设置意见的基础上，综合交通、人流量等因素，规划</w:t>
      </w:r>
      <w:r>
        <w:rPr>
          <w:rFonts w:ascii="仿宋" w:eastAsia="仿宋" w:cs="仿宋" w:hint="eastAsia"/>
          <w:b w:val="0"/>
          <w:bCs w:val="0"/>
          <w:color w:val="auto"/>
          <w:sz w:val="32"/>
          <w:szCs w:val="32"/>
          <w:lang w:val="en-US" w:eastAsia="zh-CN"/>
        </w:rPr>
        <w:t>采血点</w:t>
      </w:r>
      <w:r>
        <w:rPr>
          <w:rFonts w:ascii="仿宋" w:eastAsia="仿宋" w:cs="仿宋" w:hint="eastAsia"/>
          <w:b w:val="0"/>
          <w:bCs w:val="0"/>
          <w:color w:val="auto"/>
          <w:sz w:val="32"/>
          <w:szCs w:val="32"/>
          <w:lang w:eastAsia="zh-CN"/>
        </w:rPr>
        <w:t>或者在建成区合理设置</w:t>
      </w:r>
      <w:r>
        <w:rPr>
          <w:rFonts w:ascii="仿宋" w:eastAsia="仿宋" w:cs="仿宋" w:hint="eastAsia"/>
          <w:b w:val="0"/>
          <w:bCs w:val="0"/>
          <w:color w:val="auto"/>
          <w:sz w:val="32"/>
          <w:szCs w:val="32"/>
          <w:lang w:val="en-US" w:eastAsia="zh-CN"/>
        </w:rPr>
        <w:t>采血点</w:t>
      </w:r>
      <w:r>
        <w:rPr>
          <w:rFonts w:ascii="仿宋" w:eastAsia="仿宋" w:cs="仿宋" w:hint="eastAsia"/>
          <w:b w:val="0"/>
          <w:bCs w:val="0"/>
          <w:color w:val="auto"/>
          <w:sz w:val="32"/>
          <w:szCs w:val="32"/>
          <w:lang w:eastAsia="zh-CN"/>
        </w:rPr>
        <w:t>；发展改革部门应当依据相关规定对</w:t>
      </w:r>
      <w:r>
        <w:rPr>
          <w:rFonts w:ascii="仿宋" w:eastAsia="仿宋" w:cs="仿宋" w:hint="eastAsia"/>
          <w:b w:val="0"/>
          <w:bCs w:val="0"/>
          <w:color w:val="auto"/>
          <w:sz w:val="32"/>
          <w:szCs w:val="32"/>
          <w:lang w:val="en-US" w:eastAsia="zh-CN"/>
        </w:rPr>
        <w:t>采血点</w:t>
      </w:r>
      <w:r>
        <w:rPr>
          <w:rFonts w:ascii="仿宋" w:eastAsia="仿宋" w:cs="仿宋" w:hint="eastAsia"/>
          <w:b w:val="0"/>
          <w:bCs w:val="0"/>
          <w:color w:val="auto"/>
          <w:sz w:val="32"/>
          <w:szCs w:val="32"/>
          <w:lang w:eastAsia="zh-CN"/>
        </w:rPr>
        <w:t>建设项目进行审批；市、县（</w:t>
      </w:r>
      <w:r>
        <w:rPr>
          <w:rFonts w:ascii="仿宋" w:eastAsia="仿宋" w:cs="仿宋" w:hint="eastAsia"/>
          <w:b w:val="0"/>
          <w:bCs w:val="0"/>
          <w:color w:val="auto"/>
          <w:sz w:val="32"/>
          <w:szCs w:val="32"/>
          <w:lang w:val="en-US" w:eastAsia="zh-CN"/>
        </w:rPr>
        <w:t>区）</w:t>
      </w:r>
      <w:r>
        <w:rPr>
          <w:rFonts w:ascii="仿宋" w:eastAsia="仿宋" w:cs="仿宋" w:hint="eastAsia"/>
          <w:b w:val="0"/>
          <w:bCs w:val="0"/>
          <w:color w:val="auto"/>
          <w:sz w:val="32"/>
          <w:szCs w:val="32"/>
          <w:lang w:eastAsia="zh-CN"/>
        </w:rPr>
        <w:t>卫生健康部门应当会同住房城乡建设部门组织实施固定采血点的设置、建设和维护。</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val="0"/>
          <w:color w:val="auto"/>
          <w:sz w:val="32"/>
          <w:szCs w:val="32"/>
          <w:lang w:eastAsia="zh-CN"/>
        </w:rPr>
      </w:pPr>
      <w:r>
        <w:rPr>
          <w:rFonts w:ascii="仿宋" w:eastAsia="仿宋" w:cs="仿宋" w:hint="eastAsia"/>
          <w:b w:val="0"/>
          <w:bCs w:val="0"/>
          <w:color w:val="auto"/>
          <w:sz w:val="32"/>
          <w:szCs w:val="32"/>
          <w:lang w:val="en-US" w:eastAsia="zh-CN"/>
        </w:rPr>
        <w:t>乡（</w:t>
      </w:r>
      <w:r>
        <w:rPr>
          <w:rFonts w:ascii="仿宋" w:eastAsia="仿宋" w:cs="仿宋" w:hint="eastAsia"/>
          <w:b w:val="0"/>
          <w:bCs w:val="0"/>
          <w:color w:val="auto"/>
          <w:sz w:val="32"/>
          <w:szCs w:val="32"/>
          <w:lang w:eastAsia="zh-CN"/>
        </w:rPr>
        <w:t>镇</w:t>
      </w:r>
      <w:r>
        <w:rPr>
          <w:rFonts w:ascii="仿宋" w:eastAsia="仿宋" w:cs="仿宋" w:hint="eastAsia"/>
          <w:b w:val="0"/>
          <w:bCs w:val="0"/>
          <w:color w:val="auto"/>
          <w:sz w:val="32"/>
          <w:szCs w:val="32"/>
          <w:lang w:val="en-US" w:eastAsia="zh-CN"/>
        </w:rPr>
        <w:t>）</w:t>
      </w:r>
      <w:r>
        <w:rPr>
          <w:rFonts w:ascii="仿宋" w:eastAsia="仿宋" w:cs="仿宋" w:hint="eastAsia"/>
          <w:b w:val="0"/>
          <w:bCs w:val="0"/>
          <w:color w:val="auto"/>
          <w:sz w:val="32"/>
          <w:szCs w:val="32"/>
          <w:lang w:eastAsia="zh-CN"/>
        </w:rPr>
        <w:t>人民政府、街道办事处和有关部门应当支持和配合固定采血点的维护和管理。</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val="0"/>
          <w:color w:val="auto"/>
          <w:sz w:val="32"/>
          <w:szCs w:val="32"/>
          <w:lang w:eastAsia="zh-CN"/>
        </w:rPr>
      </w:pPr>
      <w:r>
        <w:rPr>
          <w:rFonts w:ascii="仿宋" w:eastAsia="仿宋" w:cs="仿宋" w:hint="eastAsia"/>
          <w:b w:val="0"/>
          <w:bCs w:val="0"/>
          <w:color w:val="auto"/>
          <w:sz w:val="32"/>
          <w:szCs w:val="32"/>
          <w:lang w:eastAsia="zh-CN"/>
        </w:rPr>
        <w:t>未经市、县（</w:t>
      </w:r>
      <w:r>
        <w:rPr>
          <w:rFonts w:ascii="仿宋" w:eastAsia="仿宋" w:cs="仿宋" w:hint="eastAsia"/>
          <w:b w:val="0"/>
          <w:bCs w:val="0"/>
          <w:color w:val="auto"/>
          <w:sz w:val="32"/>
          <w:szCs w:val="32"/>
          <w:lang w:val="en-US" w:eastAsia="zh-CN"/>
        </w:rPr>
        <w:t>区）</w:t>
      </w:r>
      <w:r>
        <w:rPr>
          <w:rFonts w:ascii="仿宋" w:eastAsia="仿宋" w:cs="仿宋" w:hint="eastAsia"/>
          <w:b w:val="0"/>
          <w:bCs w:val="0"/>
          <w:color w:val="auto"/>
          <w:sz w:val="32"/>
          <w:szCs w:val="32"/>
          <w:lang w:eastAsia="zh-CN"/>
        </w:rPr>
        <w:t>人民政府批准，不得拆除、迁移固定采血点。</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val="0"/>
          <w:color w:val="auto"/>
          <w:sz w:val="32"/>
          <w:szCs w:val="32"/>
          <w:lang w:eastAsia="zh-CN"/>
        </w:rPr>
      </w:pPr>
      <w:r>
        <w:rPr>
          <w:rFonts w:ascii="仿宋" w:eastAsia="仿宋" w:cs="仿宋" w:hint="eastAsia"/>
          <w:b w:val="0"/>
          <w:bCs w:val="0"/>
          <w:color w:val="auto"/>
          <w:sz w:val="32"/>
          <w:szCs w:val="32"/>
          <w:lang w:eastAsia="zh-CN"/>
        </w:rPr>
        <w:t>卫生健康行政部门应当会同公安、城市管理等部门确定流动采血车停靠点。有关单位应当为流动采血车的</w:t>
      </w:r>
      <w:r>
        <w:rPr>
          <w:rFonts w:ascii="仿宋" w:eastAsia="仿宋" w:cs="仿宋" w:hint="eastAsia"/>
          <w:b w:val="0"/>
          <w:bCs w:val="0"/>
          <w:color w:val="auto"/>
          <w:sz w:val="32"/>
          <w:szCs w:val="32"/>
          <w:lang w:val="en-US" w:eastAsia="zh-CN"/>
        </w:rPr>
        <w:t>免费</w:t>
      </w:r>
      <w:r>
        <w:rPr>
          <w:rFonts w:ascii="仿宋" w:eastAsia="仿宋" w:cs="仿宋" w:hint="eastAsia"/>
          <w:b w:val="0"/>
          <w:bCs w:val="0"/>
          <w:color w:val="auto"/>
          <w:sz w:val="32"/>
          <w:szCs w:val="32"/>
          <w:lang w:eastAsia="zh-CN"/>
        </w:rPr>
        <w:t>停靠等提供便利。</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bCs/>
          <w:color w:val="auto"/>
          <w:sz w:val="32"/>
          <w:szCs w:val="32"/>
          <w:lang w:eastAsia="zh-CN"/>
        </w:rPr>
      </w:pPr>
      <w:r>
        <w:rPr>
          <w:rFonts w:ascii="仿宋" w:eastAsia="仿宋" w:cs="仿宋" w:hint="eastAsia"/>
          <w:b w:val="0"/>
          <w:bCs w:val="0"/>
          <w:color w:val="auto"/>
          <w:sz w:val="32"/>
          <w:szCs w:val="32"/>
          <w:lang w:eastAsia="zh-CN"/>
        </w:rPr>
        <w:t>任何单位和个人不得擅自阻止流动采血车的停靠，干扰和妨碍流动采血车的正常工作。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left="0" w:firstLineChars="0" w:firstLine="0"/>
        <w:jc w:val="center"/>
        <w:textAlignment w:val="auto"/>
        <w:rPr>
          <w:rFonts w:ascii="仿宋" w:eastAsia="仿宋" w:cs="仿宋" w:hint="eastAsia"/>
          <w:color w:val="auto"/>
          <w:sz w:val="32"/>
          <w:szCs w:val="32"/>
          <w:lang w:eastAsia="zh-CN"/>
        </w:rPr>
      </w:pPr>
      <w:r>
        <w:rPr>
          <w:rFonts w:ascii="黑体" w:eastAsia="黑体" w:cs="黑体" w:hint="eastAsia"/>
          <w:color w:val="auto"/>
          <w:sz w:val="32"/>
          <w:szCs w:val="32"/>
        </w:rPr>
        <w:t>第二章  动员和组织</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w:t>
      </w:r>
      <w:r>
        <w:rPr>
          <w:rFonts w:ascii="仿宋" w:eastAsia="仿宋" w:cs="仿宋" w:hint="eastAsia"/>
          <w:color w:val="auto"/>
          <w:sz w:val="32"/>
          <w:szCs w:val="32"/>
          <w:lang w:val="en-US" w:eastAsia="zh-CN"/>
        </w:rPr>
        <w:t>六</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献血计划</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w:t>
      </w:r>
      <w:r>
        <w:rPr>
          <w:rFonts w:ascii="Times New Roman" w:eastAsia="仿宋_GB2312" w:hAnsi="Times New Roman"/>
          <w:color w:val="auto"/>
          <w:sz w:val="32"/>
          <w:szCs w:val="32"/>
          <w:highlight w:val="auto"/>
        </w:rPr>
        <w:t>人民政府</w:t>
      </w:r>
      <w:r>
        <w:rPr>
          <w:rFonts w:ascii="仿宋" w:eastAsia="仿宋" w:cs="仿宋" w:hint="eastAsia"/>
          <w:color w:val="auto"/>
          <w:sz w:val="32"/>
          <w:szCs w:val="32"/>
          <w:lang w:eastAsia="zh-CN"/>
        </w:rPr>
        <w:t>应当根据当地实际需要，制定和下达年度献血计划，动员和组织公民献血。</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color w:val="auto"/>
          <w:sz w:val="32"/>
          <w:szCs w:val="32"/>
          <w:lang w:eastAsia="zh-CN"/>
        </w:rPr>
        <w:t>各地年度献血计划，由市</w:t>
      </w:r>
      <w:r>
        <w:rPr>
          <w:rFonts w:ascii="仿宋" w:eastAsia="仿宋" w:cs="仿宋"/>
          <w:color w:val="auto"/>
          <w:sz w:val="32"/>
          <w:szCs w:val="32"/>
          <w:lang w:eastAsia="zh-CN"/>
        </w:rPr>
        <w:t>、</w:t>
      </w:r>
      <w:r>
        <w:rPr>
          <w:rFonts w:ascii="仿宋" w:eastAsia="仿宋" w:cs="仿宋" w:hint="eastAsia"/>
          <w:color w:val="auto"/>
          <w:sz w:val="32"/>
          <w:szCs w:val="32"/>
          <w:lang w:eastAsia="zh-CN"/>
        </w:rPr>
        <w:t>县（区）卫生健康行政部门按照当地医疗用血需求和适龄公民人数等情况拟定，经同级人民政府批准后</w:t>
      </w:r>
      <w:r>
        <w:rPr>
          <w:rFonts w:ascii="仿宋" w:eastAsia="仿宋" w:cs="仿宋" w:hint="eastAsia"/>
          <w:b w:val="0"/>
          <w:bCs/>
          <w:color w:val="auto"/>
          <w:sz w:val="32"/>
          <w:szCs w:val="32"/>
          <w:lang w:eastAsia="zh-CN"/>
        </w:rPr>
        <w:t>执行。</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b w:val="0"/>
          <w:bCs/>
          <w:color w:val="auto"/>
          <w:sz w:val="32"/>
          <w:szCs w:val="32"/>
          <w:lang w:val="en-US" w:eastAsia="zh-CN"/>
        </w:rPr>
        <w:t>县（</w:t>
      </w:r>
      <w:r>
        <w:rPr>
          <w:rFonts w:ascii="仿宋" w:eastAsia="仿宋" w:cs="仿宋" w:hint="eastAsia"/>
          <w:b w:val="0"/>
          <w:bCs/>
          <w:color w:val="auto"/>
          <w:sz w:val="32"/>
          <w:szCs w:val="32"/>
          <w:lang w:eastAsia="zh-CN"/>
        </w:rPr>
        <w:t>区</w:t>
      </w:r>
      <w:r>
        <w:rPr>
          <w:rFonts w:ascii="仿宋" w:eastAsia="仿宋" w:cs="仿宋" w:hint="eastAsia"/>
          <w:b w:val="0"/>
          <w:bCs/>
          <w:color w:val="auto"/>
          <w:sz w:val="32"/>
          <w:szCs w:val="32"/>
          <w:lang w:val="en-US" w:eastAsia="zh-CN"/>
        </w:rPr>
        <w:t>）</w:t>
      </w:r>
      <w:r>
        <w:rPr>
          <w:rFonts w:ascii="仿宋" w:eastAsia="仿宋" w:cs="仿宋" w:hint="eastAsia"/>
          <w:b w:val="0"/>
          <w:bCs/>
          <w:color w:val="auto"/>
          <w:sz w:val="32"/>
          <w:szCs w:val="32"/>
          <w:lang w:eastAsia="zh-CN"/>
        </w:rPr>
        <w:t>人民政府应当根据市年度献血计划制定献血工作实施方案。</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乡（</w:t>
      </w:r>
      <w:r>
        <w:rPr>
          <w:rFonts w:ascii="仿宋" w:eastAsia="仿宋" w:cs="仿宋" w:hint="eastAsia"/>
          <w:color w:val="auto"/>
          <w:sz w:val="32"/>
          <w:szCs w:val="32"/>
          <w:lang w:eastAsia="zh-CN"/>
        </w:rPr>
        <w:t>镇</w:t>
      </w:r>
      <w:r>
        <w:rPr>
          <w:rFonts w:ascii="仿宋" w:eastAsia="仿宋" w:cs="仿宋" w:hint="eastAsia"/>
          <w:color w:val="auto"/>
          <w:sz w:val="32"/>
          <w:szCs w:val="32"/>
          <w:lang w:val="en-US" w:eastAsia="zh-CN"/>
        </w:rPr>
        <w:t>）</w:t>
      </w:r>
      <w:r>
        <w:rPr>
          <w:rFonts w:ascii="仿宋" w:eastAsia="仿宋" w:cs="仿宋" w:hint="eastAsia"/>
          <w:color w:val="auto"/>
          <w:sz w:val="32"/>
          <w:szCs w:val="32"/>
          <w:lang w:eastAsia="zh-CN"/>
        </w:rPr>
        <w:t>人民政府、街道办事处应当按照年度献血计划或者献血工作实施方案组织实施本辖区内的献血活动。</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w:t>
      </w:r>
      <w:r>
        <w:rPr>
          <w:rFonts w:ascii="仿宋" w:eastAsia="仿宋" w:cs="仿宋" w:hint="eastAsia"/>
          <w:color w:val="auto"/>
          <w:sz w:val="32"/>
          <w:szCs w:val="32"/>
          <w:lang w:val="en-US" w:eastAsia="zh-CN"/>
        </w:rPr>
        <w:t>七</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组织实施</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国家机关、社会团体、企业事业组织、居民委员会、村民委员会应当按照献血计划，动员和组织本单位和本居住区的适龄公民参加献血，保证献血计划的完成。</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乡镇人民政府、街道办事处应当动员和组织本地区内无工作单位的适龄公民参加献血，保证本地区年度献血计划的完成。</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highlight w:val="auto"/>
        </w:rPr>
      </w:pPr>
      <w:r>
        <w:rPr>
          <w:rFonts w:ascii="仿宋" w:eastAsia="仿宋" w:cs="仿宋" w:hint="eastAsia"/>
          <w:color w:val="auto"/>
          <w:sz w:val="32"/>
          <w:szCs w:val="32"/>
          <w:lang w:eastAsia="zh-CN"/>
          <w:highlight w:val="auto"/>
        </w:rPr>
        <w:t>第</w:t>
      </w:r>
      <w:r>
        <w:rPr>
          <w:rFonts w:ascii="仿宋" w:eastAsia="仿宋" w:cs="仿宋" w:hint="eastAsia"/>
          <w:color w:val="auto"/>
          <w:sz w:val="32"/>
          <w:szCs w:val="32"/>
          <w:lang w:val="en-US" w:eastAsia="zh-CN"/>
          <w:highlight w:val="auto"/>
        </w:rPr>
        <w:t>八</w:t>
      </w:r>
      <w:r>
        <w:rPr>
          <w:rFonts w:ascii="仿宋" w:eastAsia="仿宋" w:cs="仿宋" w:hint="eastAsia"/>
          <w:color w:val="auto"/>
          <w:sz w:val="32"/>
          <w:szCs w:val="32"/>
          <w:lang w:eastAsia="zh-CN"/>
          <w:highlight w:val="auto"/>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eastAsia="zh-CN"/>
          <w:highlight w:val="auto"/>
        </w:rPr>
        <w:t>建立流动血库</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w:t>
      </w:r>
      <w:r>
        <w:rPr>
          <w:rFonts w:ascii="Times New Roman" w:eastAsia="仿宋_GB2312" w:hAnsi="Times New Roman"/>
          <w:color w:val="auto"/>
          <w:sz w:val="32"/>
          <w:szCs w:val="32"/>
          <w:highlight w:val="auto"/>
        </w:rPr>
        <w:t>人民政府</w:t>
      </w:r>
      <w:r>
        <w:rPr>
          <w:rFonts w:ascii="仿宋" w:eastAsia="仿宋" w:cs="仿宋" w:hint="eastAsia"/>
          <w:color w:val="auto"/>
          <w:sz w:val="32"/>
          <w:szCs w:val="32"/>
          <w:lang w:eastAsia="zh-CN"/>
          <w:highlight w:val="auto"/>
        </w:rPr>
        <w:t>根据需要组织志愿献血者预备队，建立流动血库，公民可以自愿报名参加。</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负责将符合条件的预备队人员登记造册，在库存血液不足或者临床急需用血时，经同级卫生健康行政部门批准，启动流动血库，组织预备队人员自愿献血。</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val="en-US" w:eastAsia="zh-CN"/>
        </w:rPr>
      </w:pPr>
      <w:r>
        <w:rPr>
          <w:rFonts w:ascii="仿宋" w:eastAsia="仿宋" w:cs="仿宋" w:hint="eastAsia"/>
          <w:color w:val="auto"/>
          <w:sz w:val="32"/>
          <w:szCs w:val="32"/>
          <w:lang w:eastAsia="zh-CN"/>
        </w:rPr>
        <w:t>第</w:t>
      </w:r>
      <w:r>
        <w:rPr>
          <w:rFonts w:ascii="仿宋" w:eastAsia="仿宋" w:cs="仿宋" w:hint="eastAsia"/>
          <w:color w:val="auto"/>
          <w:sz w:val="32"/>
          <w:szCs w:val="32"/>
          <w:lang w:val="en-US" w:eastAsia="zh-CN"/>
        </w:rPr>
        <w:t>九</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eastAsia="zh-CN"/>
        </w:rPr>
        <w:t>应急献血</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市、县（区）人民政府应当建立应急献血保障机制，制定应急预案，保障应急用血需要。</w:t>
      </w:r>
      <w:r>
        <w:rPr>
          <w:rFonts w:ascii="仿宋" w:eastAsia="仿宋" w:cs="仿宋" w:hint="eastAsia"/>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发生自然灾害、重大事故等突发事件，出现需要大量用血的紧急情况，应当启动应急预案，动员和组织有关单位、公民应急献血。</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highlight w:val="auto"/>
        </w:rPr>
      </w:pPr>
      <w:r>
        <w:rPr>
          <w:rFonts w:ascii="仿宋" w:eastAsia="仿宋" w:cs="仿宋" w:hint="eastAsia"/>
          <w:color w:val="auto"/>
          <w:sz w:val="32"/>
          <w:szCs w:val="32"/>
          <w:lang w:eastAsia="zh-CN"/>
          <w:highlight w:val="auto"/>
        </w:rPr>
        <w:t>第十条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highlight w:val="auto"/>
        </w:rPr>
        <w:t>献血量统计</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highlight w:val="auto"/>
        </w:rPr>
        <w:t>公民直接到经过批准的</w:t>
      </w:r>
      <w:r>
        <w:rPr>
          <w:rFonts w:ascii="仿宋" w:eastAsia="仿宋" w:cs="仿宋" w:hint="eastAsia"/>
          <w:color w:val="auto"/>
          <w:sz w:val="32"/>
          <w:szCs w:val="32"/>
          <w:lang w:val="en-US" w:eastAsia="zh-CN"/>
          <w:highlight w:val="auto"/>
        </w:rPr>
        <w:t>血站</w:t>
      </w:r>
      <w:r>
        <w:rPr>
          <w:rFonts w:ascii="仿宋" w:eastAsia="仿宋" w:cs="仿宋" w:hint="eastAsia"/>
          <w:color w:val="auto"/>
          <w:sz w:val="32"/>
          <w:szCs w:val="32"/>
          <w:lang w:eastAsia="zh-CN"/>
          <w:highlight w:val="auto"/>
        </w:rPr>
        <w:t>及其设置的采血点或者流动采血车献血，其献血量可以计入所在单位或者居民委员会、村民委员会年度献血计划的完成数内。</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第十</w:t>
      </w:r>
      <w:r>
        <w:rPr>
          <w:rFonts w:ascii="仿宋" w:eastAsia="仿宋" w:cs="仿宋" w:hint="eastAsia"/>
          <w:color w:val="auto"/>
          <w:sz w:val="32"/>
          <w:szCs w:val="32"/>
          <w:lang w:val="en-US" w:eastAsia="zh-CN"/>
        </w:rPr>
        <w:t>一</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献血证</w:t>
      </w:r>
      <w:r>
        <w:rPr>
          <w:rFonts w:ascii="Times New Roman" w:eastAsia="仿宋_GB2312" w:hAnsi="Times New Roman"/>
          <w:color w:val="auto"/>
          <w:sz w:val="32"/>
          <w:szCs w:val="32"/>
          <w:highlight w:val="auto"/>
        </w:rPr>
        <w:t>】</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应当向献血者颁发国务院卫生健康行政部门制作的《无偿献血证》</w:t>
      </w:r>
      <w:r>
        <w:rPr>
          <w:rFonts w:ascii="仿宋" w:eastAsia="仿宋" w:cs="仿宋" w:hint="eastAsia"/>
          <w:color w:val="auto"/>
          <w:sz w:val="32"/>
          <w:szCs w:val="32"/>
          <w:lang w:val="en-US" w:eastAsia="zh-CN"/>
        </w:rPr>
        <w:t>或电子献血证，并可以</w:t>
      </w:r>
      <w:r>
        <w:rPr>
          <w:rFonts w:ascii="仿宋" w:eastAsia="仿宋" w:cs="仿宋" w:hint="eastAsia"/>
          <w:color w:val="auto"/>
          <w:sz w:val="32"/>
          <w:szCs w:val="32"/>
          <w:lang w:eastAsia="zh-CN"/>
        </w:rPr>
        <w:t>发放献血纪念品或者给予适当补贴。</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第十</w:t>
      </w:r>
      <w:r>
        <w:rPr>
          <w:rFonts w:ascii="仿宋" w:eastAsia="仿宋" w:cs="仿宋" w:hint="eastAsia"/>
          <w:color w:val="auto"/>
          <w:sz w:val="32"/>
          <w:szCs w:val="32"/>
          <w:lang w:val="en-US" w:eastAsia="zh-CN"/>
        </w:rPr>
        <w:t>二</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eastAsia="zh-CN"/>
        </w:rPr>
        <w:t>完成献血计划证</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w:t>
      </w:r>
      <w:r>
        <w:rPr>
          <w:rFonts w:ascii="Times New Roman" w:eastAsia="仿宋_GB2312" w:hAnsi="Times New Roman"/>
          <w:color w:val="auto"/>
          <w:sz w:val="32"/>
          <w:szCs w:val="32"/>
          <w:highlight w:val="auto"/>
        </w:rPr>
        <w:t>人民政府</w:t>
      </w:r>
      <w:r>
        <w:rPr>
          <w:rFonts w:ascii="仿宋" w:eastAsia="仿宋" w:cs="仿宋" w:hint="eastAsia"/>
          <w:color w:val="auto"/>
          <w:sz w:val="32"/>
          <w:szCs w:val="32"/>
          <w:lang w:eastAsia="zh-CN"/>
        </w:rPr>
        <w:t>应当向完成年度献血计划的单位和居民委员会、村民委员会发给</w:t>
      </w:r>
      <w:r>
        <w:rPr>
          <w:rFonts w:ascii="仿宋" w:eastAsia="仿宋" w:cs="仿宋" w:hint="eastAsia"/>
          <w:color w:val="auto"/>
          <w:sz w:val="32"/>
          <w:szCs w:val="32"/>
          <w:lang w:val="en-US" w:eastAsia="zh-CN"/>
        </w:rPr>
        <w:t>由</w:t>
      </w:r>
      <w:r>
        <w:rPr>
          <w:rFonts w:ascii="仿宋" w:eastAsia="仿宋" w:cs="仿宋" w:hint="eastAsia"/>
          <w:color w:val="auto"/>
          <w:sz w:val="32"/>
          <w:szCs w:val="32"/>
          <w:lang w:eastAsia="zh-CN"/>
        </w:rPr>
        <w:t>市人民政府统一制作的《完成献血计划证》。</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逾期</w:t>
      </w:r>
      <w:r>
        <w:rPr>
          <w:rFonts w:ascii="仿宋" w:eastAsia="仿宋" w:cs="仿宋" w:hint="eastAsia"/>
          <w:color w:val="auto"/>
          <w:sz w:val="32"/>
          <w:szCs w:val="32"/>
          <w:lang w:val="en-US" w:eastAsia="zh-CN"/>
        </w:rPr>
        <w:t>未</w:t>
      </w:r>
      <w:r>
        <w:rPr>
          <w:rFonts w:ascii="仿宋" w:eastAsia="仿宋" w:cs="仿宋" w:hint="eastAsia"/>
          <w:color w:val="auto"/>
          <w:sz w:val="32"/>
          <w:szCs w:val="32"/>
          <w:lang w:eastAsia="zh-CN"/>
        </w:rPr>
        <w:t>完成献血计划的单位，不得</w:t>
      </w:r>
      <w:r>
        <w:rPr>
          <w:rFonts w:ascii="仿宋" w:eastAsia="仿宋" w:cs="仿宋" w:hint="eastAsia"/>
          <w:color w:val="auto"/>
          <w:sz w:val="32"/>
          <w:szCs w:val="32"/>
          <w:lang w:val="en-US" w:eastAsia="zh-CN"/>
        </w:rPr>
        <w:t>推荐、</w:t>
      </w:r>
      <w:r>
        <w:rPr>
          <w:rFonts w:ascii="仿宋" w:eastAsia="仿宋" w:cs="仿宋" w:hint="eastAsia"/>
          <w:color w:val="auto"/>
          <w:sz w:val="32"/>
          <w:szCs w:val="32"/>
          <w:lang w:eastAsia="zh-CN"/>
        </w:rPr>
        <w:t>评为文明单位；逾期不完成献血计划的县（区），不得评为无偿献血先进县（区）。</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第十</w:t>
      </w:r>
      <w:r>
        <w:rPr>
          <w:rFonts w:ascii="仿宋" w:eastAsia="仿宋" w:cs="仿宋" w:hint="eastAsia"/>
          <w:color w:val="auto"/>
          <w:sz w:val="32"/>
          <w:szCs w:val="32"/>
          <w:lang w:val="en-US" w:eastAsia="zh-CN"/>
        </w:rPr>
        <w:t>三</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献血宣传</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w:t>
      </w:r>
      <w:r>
        <w:rPr>
          <w:rFonts w:ascii="Times New Roman" w:eastAsia="仿宋_GB2312" w:hAnsi="Times New Roman"/>
          <w:color w:val="auto"/>
          <w:sz w:val="32"/>
          <w:szCs w:val="32"/>
          <w:highlight w:val="auto"/>
        </w:rPr>
        <w:t>人民政府</w:t>
      </w:r>
      <w:r>
        <w:rPr>
          <w:rFonts w:ascii="仿宋" w:eastAsia="仿宋" w:cs="仿宋" w:hint="eastAsia"/>
          <w:color w:val="auto"/>
          <w:sz w:val="32"/>
          <w:szCs w:val="32"/>
          <w:lang w:eastAsia="zh-CN"/>
        </w:rPr>
        <w:t>应当采取有效措施，</w:t>
      </w:r>
      <w:r>
        <w:rPr>
          <w:rFonts w:ascii="仿宋" w:eastAsia="仿宋" w:cs="仿宋" w:hint="eastAsia"/>
          <w:color w:val="auto"/>
          <w:sz w:val="32"/>
          <w:szCs w:val="32"/>
          <w:lang w:val="en-US" w:eastAsia="zh-CN"/>
        </w:rPr>
        <w:t>加强</w:t>
      </w:r>
      <w:r>
        <w:rPr>
          <w:rFonts w:ascii="仿宋" w:eastAsia="仿宋" w:cs="仿宋" w:hint="eastAsia"/>
          <w:color w:val="auto"/>
          <w:sz w:val="32"/>
          <w:szCs w:val="32"/>
          <w:lang w:eastAsia="zh-CN"/>
        </w:rPr>
        <w:t>宣传献血意义，组织、协调有关部门开展献血宣传工作。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val="en-US" w:eastAsia="zh-CN"/>
        </w:rPr>
      </w:pPr>
      <w:r>
        <w:rPr>
          <w:rFonts w:ascii="仿宋" w:eastAsia="仿宋" w:cs="仿宋" w:hint="eastAsia"/>
          <w:color w:val="auto"/>
          <w:sz w:val="32"/>
          <w:szCs w:val="32"/>
          <w:lang w:val="en-US" w:eastAsia="zh-CN"/>
        </w:rPr>
        <w:t>有关部门</w:t>
      </w:r>
      <w:r>
        <w:rPr>
          <w:rFonts w:ascii="仿宋" w:eastAsia="仿宋" w:cs="仿宋" w:hint="eastAsia"/>
          <w:color w:val="auto"/>
          <w:sz w:val="32"/>
          <w:szCs w:val="32"/>
          <w:lang w:eastAsia="zh-CN"/>
        </w:rPr>
        <w:t>应当按照下列职责分工，做好献血宣传工作。</w:t>
      </w:r>
      <w:r>
        <w:rPr>
          <w:rFonts w:ascii="仿宋" w:eastAsia="仿宋" w:cs="仿宋" w:hint="eastAsia"/>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（一）卫生健康</w:t>
      </w:r>
      <w:r>
        <w:rPr>
          <w:rFonts w:ascii="仿宋" w:eastAsia="仿宋" w:cs="仿宋" w:hint="eastAsia"/>
          <w:color w:val="auto"/>
          <w:sz w:val="32"/>
          <w:szCs w:val="32"/>
          <w:lang w:val="en-US" w:eastAsia="zh-CN"/>
        </w:rPr>
        <w:t>行政</w:t>
      </w:r>
      <w:r>
        <w:rPr>
          <w:rFonts w:ascii="仿宋" w:eastAsia="仿宋" w:cs="仿宋" w:hint="eastAsia"/>
          <w:color w:val="auto"/>
          <w:sz w:val="32"/>
          <w:szCs w:val="32"/>
          <w:lang w:eastAsia="zh-CN"/>
        </w:rPr>
        <w:t>部门应当加强献血法律、法规的宣传，通过多种方式、途径普及献血科学知识，开展预防和控制经血液途径传播疾病的教育；</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（二）教育部门应当组织学校开展献血科学知识宣传教育；</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（三）司法行政部门应当将献血法律法规纳入法治宣传教育的范围；</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（四）城市管理部门应当采取有效措施支持采血点开展献血宣传工作；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（五）财政部门应当将献血宣传工作经费纳入本级财政预算，保证献血宣传工作有效开展。</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工会、共青团、妇联、科协、红十字会等应当积极参与、推动献血宣传工作。</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报刊、广播、电视、网络等新闻媒体应当每年有计划地开展献血公益宣传，免费刊播献血公益广告。</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车站、机场、码头、广场、公园、影剧院、商场、医院等公共场所和公交、地铁等公共交通工具的管理、运营单位，应当通过其设置或者管理的宣传栏、公共视听载体等设施，开展献血宣传。</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鼓励其他具有广告发布资源的企业发布献血公益广告。</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第十四条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献血志愿服务</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鼓励公民参加献血志愿服务活动，其所在单位应当予以支持。</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鼓励单位和个人对献血事业进行捐赠。采供血机构可以依法接受捐赠，用于对献血者的关爱和无过错用血感染人员的救助等。</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第十五条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特色献血月</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highlight w:val="auto"/>
        </w:rPr>
        <w:t>每年一、二月为国家工作人员无偿献血月，七、八月为医务人员无偿献血月，九、十月为教师无偿献血月。</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鼓励行业协会、商会选择有行业特色、纪念意义的时间作为本行业的无偿献血月（周、日）。</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第十六条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依法献血</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禁止非法组织他人出卖血液。</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禁止雇佣他人冒名献血。</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禁止伪造、涂改、出卖、转让、出借《完成献血计划证》或者《无偿献血证》。</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left="0" w:firstLineChars="0" w:firstLine="0"/>
        <w:jc w:val="center"/>
        <w:textAlignment w:val="auto"/>
        <w:rPr>
          <w:rFonts w:ascii="黑体" w:eastAsia="黑体" w:cs="黑体" w:hint="eastAsia"/>
          <w:color w:val="auto"/>
          <w:sz w:val="32"/>
          <w:szCs w:val="32"/>
          <w:lang w:eastAsia="zh-CN"/>
        </w:rPr>
      </w:pPr>
      <w:r>
        <w:rPr>
          <w:rFonts w:ascii="黑体" w:eastAsia="黑体" w:cs="黑体" w:hint="eastAsia"/>
          <w:color w:val="auto"/>
          <w:sz w:val="32"/>
          <w:szCs w:val="32"/>
        </w:rPr>
        <w:t>第三章  采血与供血</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color w:val="auto"/>
          <w:sz w:val="32"/>
          <w:szCs w:val="32"/>
          <w:lang w:eastAsia="zh-CN"/>
        </w:rPr>
      </w:pPr>
      <w:r>
        <w:rPr>
          <w:rFonts w:ascii="仿宋" w:eastAsia="仿宋" w:cs="仿宋" w:hint="eastAsia"/>
          <w:color w:val="auto"/>
          <w:sz w:val="32"/>
          <w:szCs w:val="32"/>
          <w:lang w:eastAsia="zh-CN"/>
        </w:rPr>
        <w:t>第十七条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机构设立</w:t>
      </w:r>
      <w:r>
        <w:rPr>
          <w:rFonts w:ascii="Times New Roman" w:eastAsia="仿宋_GB2312" w:hAnsi="Times New Roman"/>
          <w:color w:val="auto"/>
          <w:sz w:val="32"/>
          <w:szCs w:val="32"/>
          <w:highlight w:val="auto"/>
        </w:rPr>
        <w:t>】</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是采集、储存、提供临床用血的专业机构，是不以营利为目的的公益性组织。</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必须经省级以上卫生健康行政部门批准设立，并按照国家有关采供血机构管理规定办理执业手续，方可开展采供血业务。</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color w:val="auto"/>
          <w:sz w:val="32"/>
          <w:szCs w:val="32"/>
          <w:lang w:eastAsia="zh-CN"/>
        </w:rPr>
      </w:pPr>
      <w:r>
        <w:rPr>
          <w:rFonts w:ascii="仿宋" w:eastAsia="仿宋" w:cs="仿宋" w:hint="eastAsia"/>
          <w:color w:val="auto"/>
          <w:sz w:val="32"/>
          <w:szCs w:val="32"/>
          <w:lang w:eastAsia="zh-CN"/>
        </w:rPr>
        <w:t>第十八条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hint="eastAsia"/>
          <w:b/>
          <w:bCs/>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依法</w:t>
      </w:r>
      <w:r>
        <w:rPr>
          <w:rFonts w:ascii="仿宋" w:eastAsia="仿宋" w:cs="仿宋" w:hint="eastAsia"/>
          <w:b w:val="0"/>
          <w:bCs/>
          <w:color w:val="auto"/>
          <w:sz w:val="32"/>
          <w:szCs w:val="32"/>
          <w:lang w:val="en-US" w:eastAsia="zh-CN"/>
        </w:rPr>
        <w:t>执业</w:t>
      </w:r>
      <w:r>
        <w:rPr>
          <w:rFonts w:ascii="Times New Roman" w:eastAsia="仿宋_GB2312" w:hAnsi="Times New Roman"/>
          <w:color w:val="auto"/>
          <w:sz w:val="32"/>
          <w:szCs w:val="32"/>
          <w:highlight w:val="auto"/>
        </w:rPr>
        <w:t>】</w:t>
      </w:r>
      <w:r>
        <w:rPr>
          <w:rFonts w:ascii="仿宋" w:eastAsia="仿宋" w:cs="仿宋" w:hint="eastAsia"/>
          <w:b w:val="0"/>
          <w:bCs w:val="0"/>
          <w:color w:val="auto"/>
          <w:sz w:val="32"/>
          <w:szCs w:val="32"/>
          <w:lang w:val="en-US" w:eastAsia="zh-CN"/>
        </w:rPr>
        <w:t>血站</w:t>
      </w:r>
      <w:r>
        <w:rPr>
          <w:rFonts w:ascii="仿宋" w:eastAsia="仿宋" w:cs="仿宋" w:hint="eastAsia"/>
          <w:b w:val="0"/>
          <w:bCs w:val="0"/>
          <w:color w:val="auto"/>
          <w:sz w:val="32"/>
          <w:szCs w:val="32"/>
          <w:lang w:eastAsia="zh-CN"/>
        </w:rPr>
        <w:t>必须按照注册登记的地址、项目、内容、范围，开展采供血业务，并为无偿献血者提供各种安全、卫生、便利的条件。</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献血者献全血的，每次可以选择献四百毫升、三百毫升或者二百毫升血液。采供血机构对全血献血者每次采集血液量最多不得超过四百毫升，两次采集间隔期不少于六个月。</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color w:val="auto"/>
          <w:sz w:val="32"/>
          <w:szCs w:val="32"/>
          <w:lang w:eastAsia="zh-CN"/>
        </w:rPr>
      </w:pPr>
      <w:r>
        <w:rPr>
          <w:rFonts w:ascii="仿宋" w:eastAsia="仿宋" w:cs="仿宋" w:hint="eastAsia"/>
          <w:color w:val="auto"/>
          <w:sz w:val="32"/>
          <w:szCs w:val="32"/>
          <w:lang w:eastAsia="zh-CN"/>
        </w:rPr>
        <w:t>献血者献成分血的，每次献血量及献血间隔期按照国家有关规定执行。</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bookmarkStart w:id="1" w:name="_GoBack"/>
      <w:bookmarkEnd w:id="1"/>
      <w:r>
        <w:rPr>
          <w:rFonts w:ascii="仿宋" w:eastAsia="仿宋" w:cs="仿宋" w:hint="eastAsia"/>
          <w:color w:val="auto"/>
          <w:sz w:val="32"/>
          <w:szCs w:val="32"/>
          <w:lang w:eastAsia="zh-CN"/>
        </w:rPr>
        <w:t>第十九条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信息公开</w:t>
      </w:r>
      <w:r>
        <w:rPr>
          <w:rFonts w:ascii="Times New Roman" w:eastAsia="仿宋_GB2312" w:hAnsi="Times New Roman"/>
          <w:color w:val="auto"/>
          <w:sz w:val="32"/>
          <w:szCs w:val="32"/>
          <w:highlight w:val="auto"/>
        </w:rPr>
        <w:t>】</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应当每月向社会公布采血量、用血量和免交临床用血费用数额等无偿献血相关信息。</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第二十条</w:t>
      </w:r>
      <w:r>
        <w:rPr>
          <w:rFonts w:ascii="Times New Roman" w:eastAsia="仿宋_GB2312" w:hAnsi="Times New Roman" w:hint="eastAsia"/>
          <w:color w:val="auto"/>
          <w:sz w:val="32"/>
          <w:szCs w:val="32"/>
          <w:lang w:val="en-US" w:eastAsia="zh-CN"/>
          <w:highlight w:val="auto"/>
        </w:rPr>
        <w:t xml:space="preserve"> </w:t>
      </w:r>
      <w:r>
        <w:rPr>
          <w:rFonts w:ascii="仿宋" w:eastAsia="仿宋" w:cs="仿宋" w:hint="eastAsia"/>
          <w:color w:val="auto"/>
          <w:sz w:val="32"/>
          <w:szCs w:val="32"/>
          <w:lang w:val="en-US" w:eastAsia="zh-CN"/>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操作规程</w:t>
      </w:r>
      <w:r>
        <w:rPr>
          <w:rFonts w:ascii="Times New Roman" w:eastAsia="仿宋_GB2312" w:hAnsi="Times New Roman"/>
          <w:color w:val="auto"/>
          <w:sz w:val="32"/>
          <w:szCs w:val="32"/>
          <w:highlight w:val="auto"/>
        </w:rPr>
        <w:t>】</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采集血液必须严格遵守有关操作规程和制度，采血必须由具有采血资格的医务人员进行，一次性采血器材用后必须销毁，确保献血者的身体健康。</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应当按照国家规定的献血者健康检查要求，对献血者免费进行健康检查；检查不符合条件的，不得采集血液，并向献血者说明情况。</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献血者在献血时应当出示本人有效身份证件，并如实提供健康信息。</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应当根据国务院卫生健康行政部门制定的血液及有关成分的质量标准，对采集的血液及分离的成分进行复核、检测；未经复核、检测或者检测不合格的血液，不得向医疗机构提供。临床用血的包装、储存、运输，必须严格执行国家规定的卫生标准和要求。</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血站应当对献血者信息依法予以保密；除法律、法规另有规定外，任何单位和个人不得要求血站提供献血者的个人资料和血液检测结果等有关信息。</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val="en-US" w:eastAsia="zh-CN"/>
        </w:rPr>
      </w:pPr>
      <w:r>
        <w:rPr>
          <w:rFonts w:ascii="仿宋" w:eastAsia="仿宋" w:cs="仿宋" w:hint="eastAsia"/>
          <w:color w:val="auto"/>
          <w:sz w:val="32"/>
          <w:szCs w:val="32"/>
          <w:lang w:eastAsia="zh-CN"/>
        </w:rPr>
        <w:t>任何单位和个人不得要求献血者证明其所献血液的安全性。</w:t>
      </w:r>
      <w:r>
        <w:rPr>
          <w:rFonts w:ascii="仿宋" w:eastAsia="仿宋" w:cs="仿宋" w:hint="eastAsia"/>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第二十一条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特殊血型</w:t>
      </w:r>
      <w:r>
        <w:rPr>
          <w:rFonts w:ascii="Times New Roman" w:eastAsia="仿宋_GB2312" w:hAnsi="Times New Roman"/>
          <w:color w:val="auto"/>
          <w:sz w:val="32"/>
          <w:szCs w:val="32"/>
          <w:highlight w:val="auto"/>
        </w:rPr>
        <w:t>】</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应当建立本地区特殊血型健康公民数据库，具体办法</w:t>
      </w:r>
      <w:r>
        <w:rPr>
          <w:rFonts w:ascii="仿宋" w:eastAsia="仿宋" w:cs="仿宋" w:hint="eastAsia"/>
          <w:color w:val="auto"/>
          <w:sz w:val="32"/>
          <w:szCs w:val="32"/>
          <w:lang w:val="en-US" w:eastAsia="zh-CN"/>
        </w:rPr>
        <w:t>根据江苏</w:t>
      </w:r>
      <w:r>
        <w:rPr>
          <w:rFonts w:ascii="仿宋" w:eastAsia="仿宋" w:cs="仿宋" w:hint="eastAsia"/>
          <w:color w:val="auto"/>
          <w:sz w:val="32"/>
          <w:szCs w:val="32"/>
          <w:lang w:eastAsia="zh-CN"/>
        </w:rPr>
        <w:t>省卫生健康行政部门</w:t>
      </w:r>
      <w:r>
        <w:rPr>
          <w:rFonts w:ascii="仿宋" w:eastAsia="仿宋" w:cs="仿宋" w:hint="eastAsia"/>
          <w:color w:val="auto"/>
          <w:sz w:val="32"/>
          <w:szCs w:val="32"/>
          <w:lang w:val="en-US" w:eastAsia="zh-CN"/>
        </w:rPr>
        <w:t>规定执行</w:t>
      </w:r>
      <w:r>
        <w:rPr>
          <w:rFonts w:ascii="仿宋" w:eastAsia="仿宋" w:cs="仿宋" w:hint="eastAsia"/>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第二十二条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血液调剂</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需要从外地调剂医疗临床用血的，按照国家和省有关规定执行。</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第二十三条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血液供应</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无偿献血的血液必须用于临床，不得买卖。</w:t>
      </w:r>
      <w:r>
        <w:rPr>
          <w:rFonts w:ascii="仿宋" w:eastAsia="仿宋" w:cs="仿宋" w:hint="eastAsia"/>
          <w:color w:val="auto"/>
          <w:sz w:val="32"/>
          <w:szCs w:val="32"/>
          <w:lang w:val="en-US" w:eastAsia="zh-CN"/>
        </w:rPr>
        <w:t>血站</w:t>
      </w:r>
      <w:r>
        <w:rPr>
          <w:rFonts w:ascii="仿宋" w:eastAsia="仿宋" w:cs="仿宋" w:hint="eastAsia"/>
          <w:color w:val="auto"/>
          <w:sz w:val="32"/>
          <w:szCs w:val="32"/>
          <w:lang w:eastAsia="zh-CN"/>
        </w:rPr>
        <w:t>、医疗机构不得将无偿献血的血液出售给单采血浆站或者血液制品生产单位。</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医疗机构不得接受单采血浆站或者血液制品生产单位提供的血液及其成分。</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第二十四条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信息平台</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血站应当将献血者相关信息录入献血工作信息平台，作为献血者及其亲属用血时核销相关费用的依据。</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献血者可以登录血站官方网站或者公众平台查询本人献血信息。</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left="0" w:firstLineChars="0" w:firstLine="0"/>
        <w:jc w:val="center"/>
        <w:textAlignment w:val="auto"/>
        <w:rPr>
          <w:rFonts w:ascii="黑体" w:eastAsia="黑体" w:cs="黑体" w:hint="eastAsia"/>
          <w:color w:val="auto"/>
          <w:sz w:val="32"/>
          <w:szCs w:val="32"/>
          <w:lang w:eastAsia="zh-CN"/>
        </w:rPr>
      </w:pPr>
      <w:r>
        <w:rPr>
          <w:rFonts w:ascii="黑体" w:eastAsia="黑体" w:cs="黑体" w:hint="eastAsia"/>
          <w:color w:val="auto"/>
          <w:sz w:val="32"/>
          <w:szCs w:val="32"/>
        </w:rPr>
        <w:t xml:space="preserve">第四章  </w:t>
      </w:r>
      <w:r>
        <w:rPr>
          <w:rFonts w:ascii="黑体" w:eastAsia="黑体" w:cs="黑体" w:hint="eastAsia"/>
          <w:color w:val="auto"/>
          <w:sz w:val="32"/>
          <w:szCs w:val="32"/>
          <w:lang w:val="en-US" w:eastAsia="zh-CN"/>
        </w:rPr>
        <w:t>临床用血</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第二十五条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用血制度</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本</w:t>
      </w:r>
      <w:r>
        <w:rPr>
          <w:rFonts w:ascii="仿宋" w:eastAsia="仿宋" w:cs="仿宋" w:hint="eastAsia"/>
          <w:color w:val="auto"/>
          <w:sz w:val="32"/>
          <w:szCs w:val="32"/>
          <w:lang w:val="en-US" w:eastAsia="zh-CN"/>
        </w:rPr>
        <w:t>市</w:t>
      </w:r>
      <w:r>
        <w:rPr>
          <w:rFonts w:ascii="仿宋" w:eastAsia="仿宋" w:cs="仿宋" w:hint="eastAsia"/>
          <w:color w:val="auto"/>
          <w:sz w:val="32"/>
          <w:szCs w:val="32"/>
          <w:lang w:eastAsia="zh-CN"/>
        </w:rPr>
        <w:t>实行公民个人储血、家庭成员互助、单位互助和社会互助相结合的用血制度。</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highlight w:val="auto"/>
        </w:rPr>
      </w:pPr>
      <w:r>
        <w:rPr>
          <w:rFonts w:ascii="仿宋" w:eastAsia="仿宋" w:cs="仿宋" w:hint="eastAsia"/>
          <w:color w:val="auto"/>
          <w:sz w:val="32"/>
          <w:szCs w:val="32"/>
          <w:lang w:eastAsia="zh-CN"/>
          <w:highlight w:val="auto"/>
        </w:rPr>
        <w:t>第二十六条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highlight w:val="auto"/>
        </w:rPr>
        <w:t>用血费用</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highlight w:val="auto"/>
        </w:rPr>
        <w:t>公民医疗临床用血时，应当按照国家统一制定的收费标准，交纳用于血液采集、储存、分离、检验等项费用（以下简称医疗临床用血费用）。</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highlight w:val="auto"/>
        </w:rPr>
      </w:pPr>
      <w:r>
        <w:rPr>
          <w:rFonts w:ascii="仿宋" w:eastAsia="仿宋" w:cs="仿宋" w:hint="eastAsia"/>
          <w:color w:val="auto"/>
          <w:sz w:val="32"/>
          <w:szCs w:val="32"/>
          <w:lang w:val="en-US" w:eastAsia="zh-CN"/>
          <w:highlight w:val="auto"/>
        </w:rPr>
        <w:t>血站</w:t>
      </w:r>
      <w:r>
        <w:rPr>
          <w:rFonts w:ascii="仿宋" w:eastAsia="仿宋" w:cs="仿宋" w:hint="eastAsia"/>
          <w:color w:val="auto"/>
          <w:sz w:val="32"/>
          <w:szCs w:val="32"/>
          <w:lang w:eastAsia="zh-CN"/>
          <w:highlight w:val="auto"/>
        </w:rPr>
        <w:t>对无偿献血血液用于临床所收取的费用应当进行专项管理，收支单列；收支结余用于发展献血事业。</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val="en-US" w:eastAsia="zh-CN"/>
        </w:rPr>
      </w:pPr>
      <w:r>
        <w:rPr>
          <w:rFonts w:ascii="仿宋" w:eastAsia="仿宋" w:cs="仿宋" w:hint="eastAsia"/>
          <w:color w:val="auto"/>
          <w:sz w:val="32"/>
          <w:szCs w:val="32"/>
          <w:lang w:eastAsia="zh-CN"/>
        </w:rPr>
        <w:t>第二十七条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用血管理</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 xml:space="preserve"> </w:t>
      </w:r>
      <w:r>
        <w:rPr>
          <w:rFonts w:ascii="仿宋" w:eastAsia="仿宋" w:cs="仿宋" w:hint="eastAsia"/>
          <w:color w:val="auto"/>
          <w:sz w:val="32"/>
          <w:szCs w:val="32"/>
          <w:lang w:val="en-US" w:eastAsia="zh-CN"/>
        </w:rPr>
        <w:t>医疗机构应当遵循科学、合理的原则，制定医疗临床用血计划，建立用血申请、审批、评价和公示制度，加强医疗临床用血管理，不得浪费和滥用血液。</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color w:val="auto"/>
          <w:sz w:val="32"/>
          <w:szCs w:val="32"/>
          <w:lang w:val="en-US" w:eastAsia="zh-CN"/>
          <w:highlight w:val="auto"/>
        </w:rPr>
      </w:pPr>
      <w:r>
        <w:rPr>
          <w:rFonts w:ascii="仿宋" w:eastAsia="仿宋" w:cs="仿宋" w:hint="eastAsia"/>
          <w:color w:val="auto"/>
          <w:sz w:val="32"/>
          <w:szCs w:val="32"/>
          <w:lang w:eastAsia="zh-CN"/>
          <w:highlight w:val="auto"/>
        </w:rPr>
        <w:t>第二十八条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highlight w:val="auto"/>
        </w:rPr>
        <w:t>用血核查</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highlight w:val="auto"/>
        </w:rPr>
        <w:t>医疗机构必须使用经省级以上卫生健康行政部门批准的采供血机构提供的血液，对临床用血必须进行核查，不得将不符合国家规定标准的血液及其成分用于临床。</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highlight w:val="auto"/>
        </w:rPr>
      </w:pPr>
      <w:r>
        <w:rPr>
          <w:rFonts w:ascii="仿宋" w:eastAsia="仿宋" w:cs="仿宋" w:hint="eastAsia"/>
          <w:color w:val="auto"/>
          <w:sz w:val="32"/>
          <w:szCs w:val="32"/>
          <w:lang w:eastAsia="zh-CN"/>
          <w:highlight w:val="auto"/>
        </w:rPr>
        <w:t>第二十九条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新技术推广</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 xml:space="preserve"> </w:t>
      </w:r>
      <w:r>
        <w:rPr>
          <w:rFonts w:ascii="仿宋" w:eastAsia="仿宋" w:cs="仿宋" w:hint="eastAsia"/>
          <w:color w:val="auto"/>
          <w:sz w:val="32"/>
          <w:szCs w:val="32"/>
          <w:lang w:eastAsia="zh-CN"/>
        </w:rPr>
        <w:t>倡导择期手术的患者自身储血；推行成分输血；鼓励临床用血新技术的研究和推广。</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left="0" w:firstLineChars="0" w:firstLine="0"/>
        <w:jc w:val="center"/>
        <w:textAlignment w:val="auto"/>
        <w:rPr>
          <w:rFonts w:ascii="黑体" w:eastAsia="黑体" w:cs="黑体" w:hint="eastAsia"/>
          <w:color w:val="auto"/>
          <w:sz w:val="32"/>
          <w:szCs w:val="32"/>
          <w:lang w:eastAsia="zh-CN"/>
        </w:rPr>
      </w:pPr>
      <w:r>
        <w:rPr>
          <w:rFonts w:ascii="黑体" w:eastAsia="黑体" w:cs="黑体" w:hint="eastAsia"/>
          <w:color w:val="auto"/>
          <w:sz w:val="32"/>
          <w:szCs w:val="32"/>
        </w:rPr>
        <w:t>第五章  激励与优待</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第三十条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献血者</w:t>
      </w:r>
      <w:r>
        <w:rPr>
          <w:rFonts w:ascii="仿宋" w:eastAsia="仿宋" w:cs="仿宋" w:hint="eastAsia"/>
          <w:b w:val="0"/>
          <w:bCs/>
          <w:color w:val="auto"/>
          <w:sz w:val="32"/>
          <w:szCs w:val="32"/>
          <w:lang w:val="en-US" w:eastAsia="zh-CN"/>
        </w:rPr>
        <w:t>优待</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《中华人民共和国献血法》和《江苏省献血条例》对在本市献血的献血者或者成功捐献造血干细胞的捐献者及其亲属已有优待规定的，从其规定。</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b w:val="0"/>
          <w:bCs/>
          <w:color w:val="auto"/>
          <w:sz w:val="32"/>
          <w:szCs w:val="32"/>
          <w:lang w:eastAsia="zh-CN"/>
        </w:rPr>
        <w:t>第三十</w:t>
      </w:r>
      <w:r>
        <w:rPr>
          <w:rFonts w:ascii="仿宋" w:eastAsia="仿宋" w:cs="仿宋" w:hint="eastAsia"/>
          <w:b w:val="0"/>
          <w:bCs/>
          <w:color w:val="auto"/>
          <w:sz w:val="32"/>
          <w:szCs w:val="32"/>
          <w:lang w:val="en-US" w:eastAsia="zh-CN"/>
        </w:rPr>
        <w:t>一</w:t>
      </w:r>
      <w:r>
        <w:rPr>
          <w:rFonts w:ascii="仿宋" w:eastAsia="仿宋" w:cs="仿宋" w:hint="eastAsia"/>
          <w:b w:val="0"/>
          <w:bCs/>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市内</w:t>
      </w:r>
      <w:r>
        <w:rPr>
          <w:rFonts w:ascii="仿宋" w:eastAsia="仿宋" w:cs="仿宋" w:hint="eastAsia"/>
          <w:b w:val="0"/>
          <w:bCs/>
          <w:color w:val="auto"/>
          <w:sz w:val="32"/>
          <w:szCs w:val="32"/>
          <w:lang w:val="en-US" w:eastAsia="zh-CN"/>
        </w:rPr>
        <w:t>三免</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eastAsia="zh-CN"/>
        </w:rPr>
        <w:t>在本市</w:t>
      </w:r>
      <w:r>
        <w:rPr>
          <w:rFonts w:ascii="仿宋" w:eastAsia="仿宋" w:cs="仿宋" w:hint="eastAsia"/>
          <w:b w:val="0"/>
          <w:bCs/>
          <w:color w:val="auto"/>
          <w:sz w:val="32"/>
          <w:szCs w:val="32"/>
          <w:lang w:val="en-US" w:eastAsia="zh-CN"/>
        </w:rPr>
        <w:t>范围内</w:t>
      </w:r>
      <w:r>
        <w:rPr>
          <w:rFonts w:ascii="仿宋" w:eastAsia="仿宋" w:cs="仿宋" w:hint="eastAsia"/>
          <w:b w:val="0"/>
          <w:bCs/>
          <w:color w:val="auto"/>
          <w:sz w:val="32"/>
          <w:szCs w:val="32"/>
          <w:lang w:eastAsia="zh-CN"/>
        </w:rPr>
        <w:t>献血</w:t>
      </w:r>
      <w:r>
        <w:rPr>
          <w:rFonts w:ascii="仿宋" w:eastAsia="仿宋" w:cs="仿宋" w:hint="eastAsia"/>
          <w:b w:val="0"/>
          <w:bCs/>
          <w:color w:val="auto"/>
          <w:sz w:val="32"/>
          <w:szCs w:val="32"/>
          <w:lang w:val="en-US" w:eastAsia="zh-CN"/>
        </w:rPr>
        <w:t>量达2000毫升以上</w:t>
      </w:r>
      <w:r>
        <w:rPr>
          <w:rFonts w:ascii="仿宋" w:eastAsia="仿宋" w:cs="仿宋" w:hint="eastAsia"/>
          <w:b w:val="0"/>
          <w:bCs/>
          <w:color w:val="auto"/>
          <w:sz w:val="32"/>
          <w:szCs w:val="32"/>
          <w:lang w:eastAsia="zh-CN"/>
        </w:rPr>
        <w:t>的献血者，在本市</w:t>
      </w:r>
      <w:r>
        <w:rPr>
          <w:rFonts w:ascii="仿宋" w:eastAsia="仿宋" w:cs="仿宋" w:hint="eastAsia"/>
          <w:b w:val="0"/>
          <w:bCs/>
          <w:color w:val="auto"/>
          <w:sz w:val="32"/>
          <w:szCs w:val="32"/>
          <w:lang w:val="en-US" w:eastAsia="zh-CN"/>
        </w:rPr>
        <w:t>范围内</w:t>
      </w:r>
      <w:r>
        <w:rPr>
          <w:rFonts w:ascii="仿宋" w:eastAsia="仿宋" w:cs="仿宋" w:hint="eastAsia"/>
          <w:b w:val="0"/>
          <w:bCs/>
          <w:color w:val="auto"/>
          <w:sz w:val="32"/>
          <w:szCs w:val="32"/>
          <w:lang w:eastAsia="zh-CN"/>
        </w:rPr>
        <w:t>可以凭相关证件免费游览</w:t>
      </w:r>
      <w:r>
        <w:rPr>
          <w:rFonts w:ascii="仿宋" w:eastAsia="仿宋" w:cs="仿宋"/>
          <w:b w:val="0"/>
          <w:bCs w:val="0"/>
          <w:color w:val="auto"/>
          <w:sz w:val="32"/>
          <w:szCs w:val="32"/>
          <w:lang w:eastAsia="zh-CN"/>
        </w:rPr>
        <w:t>本市</w:t>
      </w:r>
      <w:r>
        <w:rPr>
          <w:rFonts w:ascii="仿宋" w:eastAsia="仿宋" w:cs="仿宋" w:hint="eastAsia"/>
          <w:b w:val="0"/>
          <w:bCs/>
          <w:color w:val="auto"/>
          <w:sz w:val="32"/>
          <w:szCs w:val="32"/>
          <w:lang w:eastAsia="zh-CN"/>
        </w:rPr>
        <w:t>政府投资主办的公园、旅游风景区等场所，到</w:t>
      </w:r>
      <w:r>
        <w:rPr>
          <w:rFonts w:ascii="仿宋" w:eastAsia="仿宋" w:cs="仿宋"/>
          <w:b w:val="0"/>
          <w:bCs w:val="0"/>
          <w:color w:val="auto"/>
          <w:sz w:val="32"/>
          <w:szCs w:val="32"/>
          <w:lang w:eastAsia="zh-CN"/>
        </w:rPr>
        <w:t>本市</w:t>
      </w:r>
      <w:r>
        <w:rPr>
          <w:rFonts w:ascii="仿宋" w:eastAsia="仿宋" w:cs="仿宋" w:hint="eastAsia"/>
          <w:b w:val="0"/>
          <w:bCs/>
          <w:color w:val="auto"/>
          <w:sz w:val="32"/>
          <w:szCs w:val="32"/>
          <w:lang w:eastAsia="zh-CN"/>
        </w:rPr>
        <w:t>政府举办的医疗机构就诊免交普通门诊诊察费，免费乘坐</w:t>
      </w:r>
      <w:r>
        <w:rPr>
          <w:rFonts w:ascii="仿宋" w:eastAsia="仿宋" w:cs="仿宋"/>
          <w:b w:val="0"/>
          <w:bCs w:val="0"/>
          <w:color w:val="auto"/>
          <w:sz w:val="32"/>
          <w:szCs w:val="32"/>
          <w:lang w:eastAsia="zh-CN"/>
        </w:rPr>
        <w:t>本市</w:t>
      </w:r>
      <w:r>
        <w:rPr>
          <w:rFonts w:ascii="仿宋" w:eastAsia="仿宋" w:cs="仿宋" w:hint="eastAsia"/>
          <w:b w:val="0"/>
          <w:bCs/>
          <w:color w:val="auto"/>
          <w:sz w:val="32"/>
          <w:szCs w:val="32"/>
          <w:lang w:eastAsia="zh-CN"/>
        </w:rPr>
        <w:t>公共交通工具。</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b w:val="0"/>
          <w:bCs/>
          <w:color w:val="auto"/>
          <w:sz w:val="32"/>
          <w:szCs w:val="32"/>
          <w:lang w:eastAsia="zh-CN"/>
        </w:rPr>
        <w:t>第三十</w:t>
      </w:r>
      <w:r>
        <w:rPr>
          <w:rFonts w:ascii="仿宋" w:eastAsia="仿宋" w:cs="仿宋" w:hint="eastAsia"/>
          <w:b w:val="0"/>
          <w:bCs/>
          <w:color w:val="auto"/>
          <w:sz w:val="32"/>
          <w:szCs w:val="32"/>
          <w:lang w:val="en-US" w:eastAsia="zh-CN"/>
        </w:rPr>
        <w:t>二</w:t>
      </w:r>
      <w:r>
        <w:rPr>
          <w:rFonts w:ascii="仿宋" w:eastAsia="仿宋" w:cs="仿宋" w:hint="eastAsia"/>
          <w:b w:val="0"/>
          <w:bCs/>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仿宋" w:eastAsia="仿宋" w:cs="仿宋" w:hint="eastAsia"/>
          <w:b w:val="0"/>
          <w:bCs/>
          <w:color w:val="auto"/>
          <w:sz w:val="32"/>
          <w:szCs w:val="32"/>
          <w:lang w:eastAsia="zh-CN"/>
        </w:rPr>
        <w:t>【优先用血】无偿献血者根据</w:t>
      </w:r>
      <w:r>
        <w:rPr>
          <w:rFonts w:ascii="仿宋" w:eastAsia="仿宋" w:cs="仿宋" w:hint="eastAsia"/>
          <w:color w:val="auto"/>
          <w:sz w:val="32"/>
          <w:szCs w:val="32"/>
          <w:lang w:eastAsia="zh-CN"/>
        </w:rPr>
        <w:t>国家和省规定</w:t>
      </w:r>
      <w:r>
        <w:rPr>
          <w:rFonts w:ascii="仿宋" w:eastAsia="仿宋" w:cs="仿宋" w:hint="eastAsia"/>
          <w:b w:val="0"/>
          <w:bCs/>
          <w:color w:val="auto"/>
          <w:sz w:val="32"/>
          <w:szCs w:val="32"/>
          <w:lang w:eastAsia="zh-CN"/>
        </w:rPr>
        <w:t>享有优先用血权利。除临床急救用血外，</w:t>
      </w:r>
      <w:r>
        <w:rPr>
          <w:rFonts w:ascii="仿宋" w:eastAsia="仿宋" w:cs="仿宋"/>
          <w:b w:val="0"/>
          <w:bCs w:val="0"/>
          <w:color w:val="auto"/>
          <w:sz w:val="32"/>
          <w:szCs w:val="32"/>
          <w:lang w:eastAsia="zh-CN"/>
        </w:rPr>
        <w:t>本市</w:t>
      </w:r>
      <w:r>
        <w:rPr>
          <w:rFonts w:ascii="仿宋" w:eastAsia="仿宋" w:cs="仿宋" w:hint="eastAsia"/>
          <w:b w:val="0"/>
          <w:bCs/>
          <w:color w:val="auto"/>
          <w:sz w:val="32"/>
          <w:szCs w:val="32"/>
          <w:lang w:eastAsia="zh-CN"/>
        </w:rPr>
        <w:t>医疗机构应当优先保障无偿献血者临床用血。</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val="0"/>
          <w:bCs/>
          <w:color w:val="auto"/>
          <w:sz w:val="32"/>
          <w:szCs w:val="32"/>
          <w:lang w:eastAsia="zh-CN"/>
        </w:rPr>
      </w:pPr>
      <w:r>
        <w:rPr>
          <w:rFonts w:ascii="仿宋" w:eastAsia="仿宋" w:cs="仿宋" w:hint="eastAsia"/>
          <w:b w:val="0"/>
          <w:bCs/>
          <w:color w:val="auto"/>
          <w:sz w:val="32"/>
          <w:szCs w:val="32"/>
          <w:lang w:eastAsia="zh-CN"/>
        </w:rPr>
        <w:t>在本</w:t>
      </w:r>
      <w:r>
        <w:rPr>
          <w:rFonts w:ascii="仿宋" w:eastAsia="仿宋" w:cs="仿宋" w:hint="eastAsia"/>
          <w:b w:val="0"/>
          <w:bCs/>
          <w:color w:val="auto"/>
          <w:sz w:val="32"/>
          <w:szCs w:val="32"/>
          <w:lang w:val="en-US" w:eastAsia="zh-CN"/>
        </w:rPr>
        <w:t>市</w:t>
      </w:r>
      <w:r>
        <w:rPr>
          <w:rFonts w:ascii="仿宋" w:eastAsia="仿宋" w:cs="仿宋" w:hint="eastAsia"/>
          <w:b w:val="0"/>
          <w:bCs/>
          <w:color w:val="auto"/>
          <w:sz w:val="32"/>
          <w:szCs w:val="32"/>
          <w:lang w:eastAsia="zh-CN"/>
        </w:rPr>
        <w:t>无偿献血的公民及其配偶、父母、子女、兄弟姐妹及配偶的父母在本</w:t>
      </w:r>
      <w:r>
        <w:rPr>
          <w:rFonts w:ascii="仿宋" w:eastAsia="仿宋" w:cs="仿宋" w:hint="eastAsia"/>
          <w:b w:val="0"/>
          <w:bCs/>
          <w:color w:val="auto"/>
          <w:sz w:val="32"/>
          <w:szCs w:val="32"/>
          <w:lang w:val="en-US" w:eastAsia="zh-CN"/>
        </w:rPr>
        <w:t>市</w:t>
      </w:r>
      <w:r>
        <w:rPr>
          <w:rFonts w:ascii="仿宋" w:eastAsia="仿宋" w:cs="仿宋" w:hint="eastAsia"/>
          <w:b w:val="0"/>
          <w:bCs/>
          <w:color w:val="auto"/>
          <w:sz w:val="32"/>
          <w:szCs w:val="32"/>
          <w:lang w:eastAsia="zh-CN"/>
        </w:rPr>
        <w:t>范围内需要医疗临床用血的，采供血机构应当通过用血费用核销等信息系统查明献血者献血量、用血者和献血者之间亲属关系；通过用血费用核销等信息系统无法查明的，采供血机构应当核验。</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第三十</w:t>
      </w:r>
      <w:r>
        <w:rPr>
          <w:rFonts w:ascii="仿宋" w:eastAsia="仿宋" w:cs="仿宋" w:hint="eastAsia"/>
          <w:color w:val="auto"/>
          <w:sz w:val="32"/>
          <w:szCs w:val="32"/>
          <w:lang w:val="en-US" w:eastAsia="zh-CN"/>
        </w:rPr>
        <w:t>三</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献血者关爱</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民政部门、红十字会和慈善总会应当根据相关规定，对在本市献血的献血者、造血干细胞的捐献者、无偿献血服务的志愿者因病致贫的，开展关爱和救助活动。</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b/>
          <w:bCs/>
          <w:color w:val="auto"/>
          <w:sz w:val="32"/>
          <w:szCs w:val="32"/>
          <w:lang w:eastAsia="zh-CN"/>
        </w:rPr>
      </w:pPr>
      <w:r>
        <w:rPr>
          <w:rFonts w:ascii="仿宋" w:eastAsia="仿宋" w:cs="仿宋" w:hint="eastAsia"/>
          <w:color w:val="auto"/>
          <w:sz w:val="32"/>
          <w:szCs w:val="32"/>
          <w:lang w:eastAsia="zh-CN"/>
        </w:rPr>
        <w:t>市</w:t>
      </w:r>
      <w:r>
        <w:rPr>
          <w:rFonts w:ascii="仿宋" w:eastAsia="仿宋" w:cs="仿宋"/>
          <w:color w:val="auto"/>
          <w:sz w:val="32"/>
          <w:szCs w:val="32"/>
          <w:lang w:eastAsia="zh-CN"/>
        </w:rPr>
        <w:t>、</w:t>
      </w:r>
      <w:r>
        <w:rPr>
          <w:rFonts w:ascii="仿宋" w:eastAsia="仿宋" w:cs="仿宋" w:hint="eastAsia"/>
          <w:color w:val="auto"/>
          <w:sz w:val="32"/>
          <w:szCs w:val="32"/>
          <w:lang w:eastAsia="zh-CN"/>
        </w:rPr>
        <w:t>县（区）</w:t>
      </w:r>
      <w:r>
        <w:rPr>
          <w:rFonts w:ascii="Times New Roman" w:eastAsia="仿宋_GB2312" w:hAnsi="Times New Roman"/>
          <w:b w:val="0"/>
          <w:bCs w:val="0"/>
          <w:color w:val="auto"/>
          <w:sz w:val="32"/>
          <w:szCs w:val="32"/>
          <w:highlight w:val="auto"/>
        </w:rPr>
        <w:t>人民政府</w:t>
      </w:r>
      <w:r>
        <w:rPr>
          <w:rFonts w:ascii="仿宋" w:eastAsia="仿宋" w:cs="仿宋" w:hint="eastAsia"/>
          <w:b w:val="0"/>
          <w:bCs w:val="0"/>
          <w:color w:val="auto"/>
          <w:sz w:val="32"/>
          <w:szCs w:val="32"/>
          <w:lang w:eastAsia="zh-CN"/>
        </w:rPr>
        <w:t>及有关部门</w:t>
      </w:r>
      <w:r>
        <w:rPr>
          <w:rFonts w:ascii="仿宋" w:eastAsia="仿宋" w:cs="仿宋" w:hint="eastAsia"/>
          <w:b/>
          <w:bCs/>
          <w:color w:val="auto"/>
          <w:sz w:val="32"/>
          <w:szCs w:val="32"/>
          <w:lang w:eastAsia="zh-CN"/>
        </w:rPr>
        <w:t>、</w:t>
      </w:r>
      <w:r>
        <w:rPr>
          <w:rFonts w:ascii="仿宋" w:eastAsia="仿宋" w:cs="仿宋" w:hint="eastAsia"/>
          <w:color w:val="auto"/>
          <w:sz w:val="32"/>
          <w:szCs w:val="32"/>
          <w:lang w:eastAsia="zh-CN"/>
        </w:rPr>
        <w:t>法人和其他组织</w:t>
      </w:r>
      <w:r>
        <w:rPr>
          <w:rFonts w:ascii="仿宋" w:eastAsia="仿宋" w:cs="仿宋" w:hint="eastAsia"/>
          <w:color w:val="auto"/>
          <w:sz w:val="32"/>
          <w:szCs w:val="32"/>
          <w:lang w:val="en-US" w:eastAsia="zh-CN"/>
        </w:rPr>
        <w:t>可以</w:t>
      </w:r>
      <w:r>
        <w:rPr>
          <w:rFonts w:ascii="仿宋" w:eastAsia="仿宋" w:cs="仿宋" w:hint="eastAsia"/>
          <w:color w:val="auto"/>
          <w:sz w:val="32"/>
          <w:szCs w:val="32"/>
          <w:lang w:eastAsia="zh-CN"/>
        </w:rPr>
        <w:t>根据本地实际，制定本行政区域</w:t>
      </w:r>
      <w:r>
        <w:rPr>
          <w:rFonts w:ascii="仿宋" w:eastAsia="仿宋" w:cs="仿宋" w:hint="eastAsia"/>
          <w:color w:val="auto"/>
          <w:sz w:val="32"/>
          <w:szCs w:val="32"/>
          <w:lang w:val="en-US" w:eastAsia="zh-CN"/>
        </w:rPr>
        <w:t>和本单位</w:t>
      </w:r>
      <w:r>
        <w:rPr>
          <w:rFonts w:ascii="仿宋" w:eastAsia="仿宋" w:cs="仿宋" w:hint="eastAsia"/>
          <w:color w:val="auto"/>
          <w:sz w:val="32"/>
          <w:szCs w:val="32"/>
          <w:lang w:eastAsia="zh-CN"/>
        </w:rPr>
        <w:t>关爱献血者的奖励、优惠和优待等具体关爱措施。</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第三十</w:t>
      </w:r>
      <w:r>
        <w:rPr>
          <w:rFonts w:ascii="仿宋" w:eastAsia="仿宋" w:cs="仿宋" w:hint="eastAsia"/>
          <w:color w:val="auto"/>
          <w:sz w:val="32"/>
          <w:szCs w:val="32"/>
          <w:lang w:val="en-US" w:eastAsia="zh-CN"/>
        </w:rPr>
        <w:t>四</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仿宋" w:eastAsia="仿宋" w:cs="仿宋" w:hint="eastAsia"/>
          <w:b w:val="0"/>
          <w:bCs/>
          <w:color w:val="auto"/>
          <w:sz w:val="32"/>
          <w:szCs w:val="32"/>
          <w:lang w:val="en-US" w:eastAsia="zh-CN"/>
        </w:rPr>
        <w:t>激励机制</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国家机关、企业事业单位、社会团体、村（居）民委员会应当建立健全献血激励机制，为献血者献血提供必要的便利条件；公民献血或者捐献造血干细胞的，所在单位应当给予支持，可以适当给予补贴和补休。大中专院校学生在校期间参加献血或者捐献造血干细胞的，学校可以给予奖励和优待。</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left="0" w:firstLineChars="0" w:firstLine="0"/>
        <w:jc w:val="center"/>
        <w:textAlignment w:val="auto"/>
        <w:rPr>
          <w:rFonts w:ascii="黑体" w:eastAsia="黑体" w:cs="黑体" w:hint="eastAsia"/>
          <w:color w:val="auto"/>
          <w:sz w:val="32"/>
          <w:szCs w:val="32"/>
        </w:rPr>
      </w:pPr>
      <w:r>
        <w:rPr>
          <w:rFonts w:ascii="黑体" w:eastAsia="黑体" w:cs="黑体" w:hint="eastAsia"/>
          <w:color w:val="auto"/>
          <w:sz w:val="32"/>
          <w:szCs w:val="32"/>
        </w:rPr>
        <w:t>第六章</w:t>
      </w:r>
      <w:r>
        <w:rPr>
          <w:rFonts w:ascii="黑体" w:eastAsia="黑体" w:cs="黑体" w:hint="eastAsia"/>
          <w:color w:val="auto"/>
          <w:sz w:val="32"/>
          <w:szCs w:val="32"/>
          <w:lang w:val="en-US" w:eastAsia="zh-CN"/>
        </w:rPr>
        <w:t xml:space="preserve"> </w:t>
      </w:r>
      <w:r>
        <w:rPr>
          <w:rFonts w:ascii="黑体" w:eastAsia="黑体" w:cs="黑体" w:hint="eastAsia"/>
          <w:color w:val="auto"/>
          <w:sz w:val="32"/>
          <w:szCs w:val="32"/>
        </w:rPr>
        <w:t xml:space="preserve"> </w:t>
      </w:r>
      <w:r>
        <w:rPr>
          <w:rFonts w:ascii="黑体" w:eastAsia="黑体" w:cs="黑体" w:hint="eastAsia"/>
          <w:color w:val="auto"/>
          <w:sz w:val="32"/>
          <w:szCs w:val="32"/>
          <w:lang w:val="en-US" w:eastAsia="zh-CN"/>
        </w:rPr>
        <w:t>法律责任</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第三十</w:t>
      </w:r>
      <w:r>
        <w:rPr>
          <w:rFonts w:ascii="仿宋" w:eastAsia="仿宋" w:cs="仿宋" w:hint="eastAsia"/>
          <w:color w:val="auto"/>
          <w:sz w:val="32"/>
          <w:szCs w:val="32"/>
          <w:lang w:val="en-US" w:eastAsia="zh-CN"/>
        </w:rPr>
        <w:t>五</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color w:val="auto"/>
          <w:sz w:val="32"/>
          <w:szCs w:val="32"/>
          <w:highlight w:val="auto"/>
        </w:rPr>
        <w:t>【</w:t>
      </w:r>
      <w:r>
        <w:rPr>
          <w:rFonts w:ascii="Times New Roman" w:eastAsia="仿宋_GB2312" w:hAnsi="Times New Roman" w:hint="eastAsia"/>
          <w:color w:val="auto"/>
          <w:sz w:val="32"/>
          <w:szCs w:val="32"/>
          <w:lang w:val="en-US" w:eastAsia="zh-CN"/>
          <w:highlight w:val="auto"/>
        </w:rPr>
        <w:t>处罚规定</w:t>
      </w:r>
      <w:r>
        <w:rPr>
          <w:rFonts w:ascii="Times New Roman" w:eastAsia="仿宋_GB2312" w:hAnsi="Times New Roman"/>
          <w:color w:val="auto"/>
          <w:sz w:val="32"/>
          <w:szCs w:val="32"/>
          <w:highlight w:val="auto"/>
        </w:rPr>
        <w:t>】</w:t>
      </w:r>
      <w:r>
        <w:rPr>
          <w:rFonts w:ascii="仿宋" w:eastAsia="仿宋" w:cs="仿宋" w:hint="eastAsia"/>
          <w:color w:val="auto"/>
          <w:sz w:val="32"/>
          <w:szCs w:val="32"/>
          <w:lang w:eastAsia="zh-CN"/>
        </w:rPr>
        <w:t>违反本条例规定，</w:t>
      </w:r>
      <w:r>
        <w:rPr>
          <w:rFonts w:ascii="仿宋" w:eastAsia="仿宋" w:cs="仿宋"/>
          <w:color w:val="auto"/>
          <w:sz w:val="32"/>
          <w:szCs w:val="32"/>
          <w:lang w:eastAsia="zh-CN"/>
        </w:rPr>
        <w:t>法律</w:t>
      </w:r>
      <w:r>
        <w:rPr>
          <w:rFonts w:ascii="仿宋" w:eastAsia="仿宋" w:cs="仿宋" w:hint="eastAsia"/>
          <w:color w:val="auto"/>
          <w:sz w:val="32"/>
          <w:szCs w:val="32"/>
          <w:lang w:eastAsia="zh-CN"/>
        </w:rPr>
        <w:t>、</w:t>
      </w:r>
      <w:r>
        <w:rPr>
          <w:rFonts w:ascii="仿宋" w:eastAsia="仿宋" w:cs="仿宋"/>
          <w:color w:val="auto"/>
          <w:sz w:val="32"/>
          <w:szCs w:val="32"/>
          <w:lang w:eastAsia="zh-CN"/>
        </w:rPr>
        <w:t>法规</w:t>
      </w:r>
      <w:r>
        <w:rPr>
          <w:rFonts w:ascii="仿宋" w:eastAsia="仿宋" w:cs="仿宋" w:hint="eastAsia"/>
          <w:color w:val="auto"/>
          <w:sz w:val="32"/>
          <w:szCs w:val="32"/>
          <w:lang w:eastAsia="zh-CN"/>
        </w:rPr>
        <w:t>已有处罚规定的，从其规定。</w:t>
      </w:r>
    </w:p>
    <w:p>
      <w:pPr>
        <w:keepNext w:val="0"/>
        <w:keepLines w:val="0"/>
        <w:pageBreakBefore w:val="0"/>
        <w:widowControl/>
        <w:kinsoku/>
        <w:wordWrap/>
        <w:overflowPunct/>
        <w:topLinePunct w:val="0"/>
        <w:autoSpaceDE/>
        <w:autoSpaceDN/>
        <w:bidi w:val="0"/>
        <w:adjustRightInd/>
        <w:snapToGrid/>
        <w:spacing w:beforeLines="0" w:before="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第三十</w:t>
      </w:r>
      <w:r>
        <w:rPr>
          <w:rFonts w:ascii="仿宋" w:eastAsia="仿宋" w:cs="仿宋" w:hint="eastAsia"/>
          <w:color w:val="auto"/>
          <w:sz w:val="32"/>
          <w:szCs w:val="32"/>
          <w:lang w:val="en-US" w:eastAsia="zh-CN"/>
        </w:rPr>
        <w:t>六</w:t>
      </w:r>
      <w:r>
        <w:rPr>
          <w:rFonts w:ascii="仿宋" w:eastAsia="仿宋" w:cs="仿宋" w:hint="eastAsia"/>
          <w:color w:val="auto"/>
          <w:sz w:val="32"/>
          <w:szCs w:val="32"/>
          <w:lang w:eastAsia="zh-CN"/>
        </w:rPr>
        <w:t>条</w:t>
      </w:r>
      <w:r>
        <w:rPr>
          <w:rFonts w:ascii="Times New Roman" w:eastAsia="仿宋_GB2312" w:hAnsi="Times New Roman" w:hint="eastAsia"/>
          <w:color w:val="auto"/>
          <w:sz w:val="32"/>
          <w:szCs w:val="32"/>
          <w:lang w:val="en-US" w:eastAsia="zh-CN"/>
          <w:highlight w:val="auto"/>
        </w:rPr>
        <w:t xml:space="preserve">  </w:t>
      </w:r>
      <w:r>
        <w:rPr>
          <w:rFonts w:ascii="Times New Roman" w:eastAsia="仿宋_GB2312" w:hAnsi="Times New Roman" w:hint="eastAsia"/>
          <w:color w:val="auto"/>
          <w:sz w:val="32"/>
          <w:szCs w:val="32"/>
          <w:lang w:eastAsia="zh-CN"/>
          <w:highlight w:val="auto"/>
        </w:rPr>
        <w:t>【</w:t>
      </w:r>
      <w:r>
        <w:rPr>
          <w:rFonts w:ascii="Times New Roman" w:eastAsia="仿宋_GB2312" w:hAnsi="Times New Roman" w:hint="eastAsia"/>
          <w:color w:val="auto"/>
          <w:sz w:val="32"/>
          <w:szCs w:val="32"/>
          <w:lang w:val="en-US" w:eastAsia="zh-CN"/>
          <w:highlight w:val="auto"/>
        </w:rPr>
        <w:t>渎职处分</w:t>
      </w:r>
      <w:r>
        <w:rPr>
          <w:rFonts w:ascii="Times New Roman" w:eastAsia="仿宋_GB2312" w:hAnsi="Times New Roman" w:hint="eastAsia"/>
          <w:color w:val="auto"/>
          <w:sz w:val="32"/>
          <w:szCs w:val="32"/>
          <w:lang w:eastAsia="zh-CN"/>
          <w:highlight w:val="auto"/>
        </w:rPr>
        <w:t>】相</w:t>
      </w:r>
      <w:r>
        <w:rPr>
          <w:rFonts w:ascii="仿宋" w:eastAsia="仿宋" w:cs="仿宋" w:hint="eastAsia"/>
          <w:color w:val="auto"/>
          <w:sz w:val="32"/>
          <w:szCs w:val="32"/>
          <w:lang w:eastAsia="zh-CN"/>
        </w:rPr>
        <w:t>关行政管理部门及其工作人员在献血工作中玩忽职守、滥用职权、徇私舞弊的，对直接负责的主管人员和其他直接责任人员依法给予处分；构成犯罪的，依法追究刑事责任。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left="0" w:firstLineChars="0" w:firstLine="0"/>
        <w:jc w:val="center"/>
        <w:textAlignment w:val="auto"/>
        <w:rPr>
          <w:rFonts w:ascii="黑体" w:eastAsia="黑体" w:cs="黑体" w:hint="eastAsia"/>
          <w:color w:val="auto"/>
          <w:sz w:val="32"/>
          <w:szCs w:val="32"/>
        </w:rPr>
      </w:pPr>
      <w:r>
        <w:rPr>
          <w:rFonts w:ascii="黑体" w:eastAsia="黑体" w:cs="黑体" w:hint="eastAsia"/>
          <w:color w:val="auto"/>
          <w:sz w:val="32"/>
          <w:szCs w:val="32"/>
        </w:rPr>
        <w:t>第</w:t>
      </w:r>
      <w:r>
        <w:rPr>
          <w:rFonts w:ascii="黑体" w:eastAsia="黑体" w:cs="黑体" w:hint="eastAsia"/>
          <w:color w:val="auto"/>
          <w:sz w:val="32"/>
          <w:szCs w:val="32"/>
          <w:lang w:val="en-US" w:eastAsia="zh-CN"/>
        </w:rPr>
        <w:t>七</w:t>
      </w:r>
      <w:r>
        <w:rPr>
          <w:rFonts w:ascii="黑体" w:eastAsia="黑体" w:cs="黑体" w:hint="eastAsia"/>
          <w:color w:val="auto"/>
          <w:sz w:val="32"/>
          <w:szCs w:val="32"/>
        </w:rPr>
        <w:t xml:space="preserve">章 </w:t>
      </w:r>
      <w:r>
        <w:rPr>
          <w:rFonts w:ascii="黑体" w:eastAsia="黑体" w:cs="黑体" w:hint="eastAsia"/>
          <w:color w:val="auto"/>
          <w:sz w:val="32"/>
          <w:szCs w:val="32"/>
          <w:lang w:val="en-US" w:eastAsia="zh-CN"/>
        </w:rPr>
        <w:t xml:space="preserve"> 附则</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 xml:space="preserve">第三十七条  </w:t>
      </w:r>
      <w:r>
        <w:rPr>
          <w:rFonts w:ascii="Times New Roman" w:eastAsia="仿宋_GB2312" w:hAnsi="Times New Roman" w:hint="eastAsia"/>
          <w:color w:val="auto"/>
          <w:sz w:val="32"/>
          <w:szCs w:val="32"/>
          <w:lang w:val="en-US" w:eastAsia="zh-CN"/>
          <w:highlight w:val="auto"/>
        </w:rPr>
        <w:t>【名词解释】</w:t>
      </w:r>
      <w:r>
        <w:rPr>
          <w:rFonts w:ascii="仿宋" w:eastAsia="仿宋" w:cs="仿宋" w:hint="eastAsia"/>
          <w:color w:val="auto"/>
          <w:sz w:val="32"/>
          <w:szCs w:val="32"/>
          <w:lang w:eastAsia="zh-CN"/>
        </w:rPr>
        <w:t>条例所称的无偿献血，是指符合献血要求的任何个人自愿向依法设置的采供血机构捐献全血或者血小板等血液成分而不获取任何报酬的行为。</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eastAsia="zh-CN"/>
        </w:rPr>
        <w:t>本条例所称的血液，是指用于医疗临床的全血和血液成分。</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color w:val="auto"/>
          <w:sz w:val="32"/>
          <w:szCs w:val="32"/>
          <w:lang w:val="en-US" w:eastAsia="zh-CN"/>
        </w:rPr>
      </w:pPr>
      <w:r>
        <w:rPr>
          <w:rFonts w:ascii="仿宋" w:eastAsia="仿宋" w:cs="仿宋" w:hint="eastAsia"/>
          <w:color w:val="auto"/>
          <w:sz w:val="32"/>
          <w:szCs w:val="32"/>
          <w:lang w:eastAsia="zh-CN"/>
        </w:rPr>
        <w:t>本条例所称的临床用血费用，是指采供血机构采集、储存、制备、检验血液等过程中发生的，经政府有关部门核算确定，以一定标准向用血者收取的费用。</w:t>
      </w:r>
      <w:r>
        <w:rPr>
          <w:rFonts w:ascii="仿宋" w:eastAsia="仿宋" w:cs="仿宋" w:hint="eastAsia"/>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hint="eastAsia"/>
          <w:color w:val="auto"/>
          <w:sz w:val="32"/>
          <w:szCs w:val="32"/>
          <w:lang w:eastAsia="zh-CN"/>
        </w:rPr>
      </w:pPr>
      <w:r>
        <w:rPr>
          <w:rFonts w:ascii="仿宋" w:eastAsia="仿宋" w:cs="仿宋" w:hint="eastAsia"/>
          <w:color w:val="auto"/>
          <w:sz w:val="32"/>
          <w:szCs w:val="32"/>
          <w:lang w:val="en-US" w:eastAsia="zh-CN"/>
        </w:rPr>
        <w:t xml:space="preserve">第三十八条  </w:t>
      </w:r>
      <w:r>
        <w:rPr>
          <w:rFonts w:ascii="Times New Roman" w:eastAsia="仿宋_GB2312" w:hAnsi="Times New Roman" w:hint="eastAsia"/>
          <w:color w:val="auto"/>
          <w:sz w:val="32"/>
          <w:szCs w:val="32"/>
          <w:lang w:val="en-US" w:eastAsia="zh-CN"/>
          <w:highlight w:val="auto"/>
        </w:rPr>
        <w:t>【同等待遇】</w:t>
      </w:r>
      <w:r>
        <w:rPr>
          <w:rFonts w:ascii="仿宋" w:eastAsia="仿宋" w:cs="仿宋" w:hint="eastAsia"/>
          <w:color w:val="auto"/>
          <w:sz w:val="32"/>
          <w:szCs w:val="32"/>
          <w:lang w:eastAsia="zh-CN"/>
        </w:rPr>
        <w:t>外市居民以及外国公民、华侨、香港特别行政区居民、澳门特别行政区居民和台湾地区居民可以凭有效身份证件参加献血，享受同等待遇。</w:t>
      </w:r>
    </w:p>
    <w:p>
      <w:pPr>
        <w:keepNext w:val="0"/>
        <w:keepLines w:val="0"/>
        <w:pageBreakBefore w:val="0"/>
        <w:widowControl/>
        <w:kinsoku/>
        <w:wordWrap/>
        <w:overflowPunct/>
        <w:topLinePunct w:val="0"/>
        <w:autoSpaceDE/>
        <w:autoSpaceDN/>
        <w:bidi w:val="0"/>
        <w:adjustRightInd w:val="0"/>
        <w:snapToGrid w:val="0"/>
        <w:spacing w:beforeLines="0" w:before="50" w:line="520" w:lineRule="exact"/>
        <w:ind w:firstLineChars="200" w:firstLine="640"/>
        <w:jc w:val="both"/>
        <w:textAlignment w:val="auto"/>
        <w:rPr>
          <w:rFonts w:ascii="仿宋" w:eastAsia="仿宋" w:cs="仿宋"/>
          <w:color w:val="auto"/>
          <w:sz w:val="32"/>
          <w:szCs w:val="32"/>
          <w:lang w:val="en-US" w:eastAsia="zh-CN"/>
        </w:rPr>
      </w:pPr>
      <w:r>
        <w:rPr>
          <w:rFonts w:ascii="仿宋" w:eastAsia="仿宋" w:cs="仿宋" w:hint="eastAsia"/>
          <w:color w:val="auto"/>
          <w:sz w:val="32"/>
          <w:szCs w:val="32"/>
          <w:lang w:val="en-US" w:eastAsia="zh-CN"/>
        </w:rPr>
        <w:t xml:space="preserve">第三十九条 </w:t>
      </w:r>
      <w:r>
        <w:rPr>
          <w:rFonts w:ascii="仿宋" w:eastAsia="仿宋" w:cs="仿宋" w:hint="eastAsia"/>
          <w:b/>
          <w:bCs/>
          <w:color w:val="auto"/>
          <w:sz w:val="32"/>
          <w:szCs w:val="32"/>
          <w:lang w:val="en-US" w:eastAsia="zh-CN"/>
        </w:rPr>
        <w:t xml:space="preserve"> </w:t>
      </w:r>
      <w:r>
        <w:rPr>
          <w:rFonts w:ascii="Times New Roman" w:eastAsia="仿宋_GB2312" w:hAnsi="Times New Roman" w:hint="eastAsia"/>
          <w:b w:val="0"/>
          <w:bCs w:val="0"/>
          <w:color w:val="auto"/>
          <w:sz w:val="32"/>
          <w:szCs w:val="32"/>
          <w:lang w:val="en-US" w:eastAsia="zh-CN"/>
          <w:highlight w:val="auto"/>
        </w:rPr>
        <w:t>【实施日期】</w:t>
      </w:r>
      <w:r>
        <w:rPr>
          <w:rFonts w:ascii="仿宋" w:eastAsia="仿宋" w:cs="仿宋"/>
          <w:color w:val="auto"/>
          <w:sz w:val="32"/>
          <w:szCs w:val="32"/>
          <w:lang w:eastAsia="zh-CN"/>
        </w:rPr>
        <w:t>本条例自</w:t>
      </w:r>
      <w:r>
        <w:rPr>
          <w:rFonts w:ascii="仿宋" w:eastAsia="仿宋" w:cs="仿宋" w:hint="eastAsia"/>
          <w:color w:val="auto"/>
          <w:sz w:val="32"/>
          <w:szCs w:val="32"/>
          <w:lang w:val="en-US" w:eastAsia="zh-CN"/>
        </w:rPr>
        <w:t>2024</w:t>
      </w:r>
      <w:r>
        <w:rPr>
          <w:rFonts w:ascii="仿宋" w:eastAsia="仿宋" w:cs="仿宋"/>
          <w:color w:val="auto"/>
          <w:sz w:val="32"/>
          <w:szCs w:val="32"/>
          <w:lang w:eastAsia="zh-CN"/>
        </w:rPr>
        <w:t>年 月  日起施行。</w:t>
      </w:r>
    </w:p>
    <w:sectPr>
      <w:headerReference w:type="default" r:id="rId2"/>
      <w:headerReference w:type="even" r:id="rId3"/>
      <w:headerReference w:type="first" r:id="rId4"/>
      <w:footerReference w:type="default" r:id="rId5"/>
      <w:footerReference w:type="even" r:id="rId6"/>
      <w:footerReference w:type="first" r:id="rId7"/>
      <w:pgSz w:w="11900" w:h="16840"/>
      <w:pgMar w:top="1440" w:right="1080" w:bottom="1440" w:left="1080" w:header="850" w:footer="992" w:gutter="0"/>
      <w:pgNumType w:fmt="numberInDash" w:start="1"/>
      <w:docGrid w:type="lines" w:linePitch="423"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方正小标宋_GBK">
    <w:panose1 w:val="02000000000000000000"/>
    <w:charset w:val="86"/>
    <w:family w:val="script"/>
    <w:pitch w:val="variable"/>
    <w:sig w:usb0="00000001" w:usb1="08000000" w:usb2="00000000" w:usb3="00000000" w:csb0="00040000" w:csb1="00000000"/>
  </w:font>
  <w:font w:name="方正公文小标宋">
    <w:altName w:val="方正小标宋简体"/>
    <w:panose1 w:val="02000500000000000000"/>
    <w:charset w:val="86"/>
    <w:family w:val="auto"/>
    <w:pitch w:val="variable"/>
    <w:sig w:usb0="00000000" w:usb1="00000000"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等线">
    <w:altName w:val="方正兰亭黑_GBK"/>
    <w:panose1 w:val="02010600030101010101"/>
    <w:charset w:val="86"/>
    <w:family w:val="auto"/>
    <w:pitch w:val="variable"/>
    <w:sig w:usb0="00000000" w:usb1="00000000" w:usb2="00000016" w:usb3="00000000" w:csb0="0004000F" w:csb1="00000000"/>
  </w:font>
  <w:font w:name="等线 Light">
    <w:altName w:val="方正书宋_GBK"/>
    <w:panose1 w:val="02010600030101010101"/>
    <w:charset w:val="86"/>
    <w:family w:val="auto"/>
    <w:pitch w:val="variable"/>
    <w:sig w:usb0="00000000" w:usb1="00000000" w:usb2="00000016" w:usb3="00000000" w:csb0="0004000F" w:csb1="00000000"/>
  </w:font>
  <w:font w:name="Arial">
    <w:altName w:val="DejaVu Sans"/>
    <w:panose1 w:val="020B0604020202020204"/>
    <w:charset w:val="01"/>
    <w:family w:val="swiss"/>
    <w:pitch w:val="variable"/>
    <w:sig w:usb0="00007A87" w:usb1="80000000" w:usb2="00000008" w:usb3="00000000" w:csb0="400001FF" w:csb1="FFFF0000"/>
  </w:font>
  <w:font w:name="Songti SC">
    <w:altName w:val="方正书宋_GBK"/>
    <w:panose1 w:val="02010600040101010101"/>
    <w:charset w:val="86"/>
    <w:family w:val="auto"/>
    <w:pitch w:val="variable"/>
    <w:sig w:usb0="00000000" w:usb1="00000000" w:usb2="00000010" w:usb3="00000000" w:csb0="0004009F" w:csb1="00000000"/>
  </w:font>
  <w:font w:name="微软雅黑">
    <w:altName w:val="方正兰亭黑_GBK"/>
    <w:panose1 w:val="020B0503020204020204"/>
    <w:charset w:val="86"/>
    <w:family w:val="auto"/>
    <w:pitch w:val="variable"/>
    <w:sig w:usb0="A0000287" w:usb1="28C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Lines="0" w:before="120"/>
      <w:jc w:val="center"/>
      <w:rPr>
        <w:rFonts w:ascii="宋体" w:eastAsia="宋体" w:hint="eastAsia"/>
        <w:sz w:val="18"/>
        <w:szCs w:val="18"/>
      </w:rPr>
    </w:pPr>
    <w:r>
      <w:rPr>
        <w:rFonts w:ascii="宋体" w:eastAsia="宋体"/>
        <w:sz w:val="18"/>
        <w:szCs w:val="18"/>
      </w:rPr>
      <w:fldChar w:fldCharType="begin"/>
    </w:r>
    <w:r>
      <w:rPr>
        <w:rFonts w:ascii="宋体" w:eastAsia="宋体"/>
        <w:sz w:val="18"/>
        <w:szCs w:val="18"/>
      </w:rPr>
      <w:instrText xml:space="preserve"> PAGE \* Arabic \* MERGEFORMAT </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r>
      <w:rPr>
        <w:rFonts w:ascii="宋体" w:eastAsia="宋体"/>
        <w:sz w:val="18"/>
        <w:szCs w:val="18"/>
      </w:rPr>
      <w:t xml:space="preserve"> </w:t>
    </w:r>
    <w:r>
      <w:rPr>
        <w:rFonts w:ascii="宋体" w:eastAsia="宋体" w:hint="eastAsia"/>
        <w:sz w:val="18"/>
        <w:szCs w:val="18"/>
      </w:rPr>
      <w:t>/</w:t>
    </w:r>
    <w:r>
      <w:rPr>
        <w:rFonts w:ascii="宋体" w:eastAsia="宋体"/>
        <w:sz w:val="18"/>
        <w:szCs w:val="18"/>
      </w:rPr>
      <w:t xml:space="preserve"> </w:t>
    </w:r>
    <w:r>
      <w:rPr>
        <w:rFonts w:ascii="宋体" w:eastAsia="宋体"/>
        <w:sz w:val="18"/>
        <w:szCs w:val="18"/>
      </w:rPr>
      <w:fldChar w:fldCharType="begin"/>
    </w:r>
    <w:r>
      <w:rPr>
        <w:rFonts w:ascii="宋体" w:eastAsia="宋体"/>
        <w:sz w:val="18"/>
        <w:szCs w:val="18"/>
      </w:rPr>
      <w:instrText xml:space="preserve"> NUMPAGES  \* MERGEFORMAT </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spacing w:beforeLines="0" w:before="120"/>
      <w:rPr>
        <w:rStyle w:val="32"/>
      </w:rPr>
    </w:pPr>
    <w:r>
      <w:rPr>
        <w:rStyle w:val="32"/>
      </w:rPr>
      <w:fldChar w:fldCharType="begin"/>
    </w:r>
    <w:r>
      <w:rPr>
        <w:rStyle w:val="32"/>
      </w:rPr>
      <w:instrText xml:space="preserve">PAGE  </w:instrText>
    </w:r>
    <w:r>
      <w:rPr>
        <w:rStyle w:val="32"/>
      </w:rPr>
      <w:fldChar w:fldCharType="separate"/>
    </w:r>
    <w:r>
      <w:rPr>
        <w:rStyle w:val="32"/>
      </w:rPr>
      <w:t xml:space="preserve"> </w:t>
    </w:r>
    <w:r>
      <w:rPr>
        <w:rStyle w:val="32"/>
      </w:rPr>
      <w:fldChar w:fldCharType="end"/>
    </w:r>
  </w:p>
  <w:p>
    <w:pPr>
      <w:pStyle w:val="21"/>
      <w:tabs>
        <w:tab w:val="center" w:pos="4153"/>
        <w:tab w:val="right" w:pos="8306"/>
      </w:tabs>
      <w:spacing w:beforeLines="0" w:before="120"/>
      <w:rPr>
        <w:rStyle w:val="32"/>
      </w:rPr>
    </w:pPr>
    <w:r>
      <w:rPr>
        <w:rStyle w:val="32"/>
      </w:rPr>
      <w:fldChar w:fldCharType="begin"/>
    </w:r>
    <w:r>
      <w:rPr>
        <w:rStyle w:val="32"/>
      </w:rPr>
      <w:instrText xml:space="preserve">PAGE  </w:instrText>
    </w:r>
    <w:r>
      <w:rPr>
        <w:rStyle w:val="32"/>
      </w:rPr>
      <w:fldChar w:fldCharType="separate"/>
    </w:r>
    <w:r>
      <w:rPr>
        <w:rStyle w:val="32"/>
      </w:rPr>
      <w:t xml:space="preserve"> </w:t>
    </w:r>
    <w:r>
      <w:rPr>
        <w:rStyle w:val="32"/>
      </w:rPr>
      <w:fldChar w:fldCharType="end"/>
    </w:r>
  </w:p>
  <w:p>
    <w:pPr>
      <w:pStyle w:val="21"/>
      <w:tabs>
        <w:tab w:val="center" w:pos="4153"/>
        <w:tab w:val="right" w:pos="8306"/>
      </w:tabs>
      <w:spacing w:beforeLines="0" w:before="120"/>
    </w:pPr>
  </w:p>
  <w:p>
    <w:pPr>
      <w:spacing w:beforeLines="0" w:before="12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spacing w:beforeLines="0" w:before="12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spacing w:beforeLines="0" w:before="120"/>
      <w:ind w:firstLineChars="0" w:firstLine="0"/>
      <w:rPr>
        <w:rFonts w:ascii="宋体" w:eastAsia="宋体"/>
      </w:rPr>
    </w:pPr>
    <w:r>
      <w:rPr>
        <w:rFonts w:ascii="宋体" w:eastAsia="宋体" w:hint="eastAsia"/>
        <w:lang w:val="en-US" w:eastAsia="zh-CN"/>
      </w:rPr>
      <w:t>连云港市</w:t>
    </w:r>
    <w:r>
      <w:rPr>
        <w:rFonts w:ascii="宋体" w:eastAsia="宋体"/>
      </w:rPr>
      <w:t>献血条例</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spacing w:beforeLines="0" w:before="120"/>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spacing w:beforeLines="0" w:before="120"/>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ocumentProtection w:edit="readOnly" w:enforcement="0"/>
  <w:defaultTabStop w:val="420"/>
  <w:drawingGridHorizontalSpacing w:val="120"/>
  <w:drawingGridVerticalSpacing w:val="423"/>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mE1MzgwMzA0MmQ0Mzg4ZjIyNDA0MGRlNjUwNmIzY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beforeLines="50" w:before="50"/>
      <w:ind w:firstLineChars="200" w:firstLine="200"/>
    </w:pPr>
    <w:rPr>
      <w:rFonts w:ascii="等线" w:eastAsia="等线" w:cs="宋体"/>
      <w:kern w:val="0"/>
      <w:sz w:val="21"/>
      <w:szCs w:val="21"/>
      <w:lang w:val="en-US" w:eastAsia="zh-CN" w:bidi="ar-SA"/>
    </w:rPr>
  </w:style>
  <w:style w:type="paragraph" w:styleId="1">
    <w:name w:val="heading 1"/>
    <w:basedOn w:val="0"/>
    <w:pPr>
      <w:spacing w:beforeLines="100" w:before="100" w:afterLines="75" w:after="75" w:line="400" w:lineRule="exact"/>
      <w:ind w:firstLineChars="0" w:firstLine="0"/>
      <w:jc w:val="center"/>
      <w:outlineLvl w:val="0"/>
    </w:pPr>
    <w:rPr>
      <w:rFonts w:eastAsia="宋体"/>
      <w:b/>
      <w:bCs/>
      <w:kern w:val="36"/>
      <w:sz w:val="24"/>
      <w:szCs w:val="24"/>
    </w:rPr>
  </w:style>
  <w:style w:type="paragraph" w:styleId="2">
    <w:name w:val="heading 2"/>
    <w:basedOn w:val="0"/>
    <w:next w:val="0"/>
    <w:pPr>
      <w:keepNext/>
      <w:keepLines/>
      <w:spacing w:beforeLines="0" w:before="211" w:line="400" w:lineRule="exact"/>
      <w:ind w:firstLineChars="0" w:firstLine="0"/>
      <w:jc w:val="center"/>
      <w:outlineLvl w:val="1"/>
    </w:pPr>
    <w:rPr>
      <w:rFonts w:cs="Times New Roman"/>
      <w:b/>
      <w:bCs/>
      <w:szCs w:val="32"/>
    </w:rPr>
  </w:style>
  <w:style w:type="paragraph" w:styleId="3">
    <w:name w:val="heading 3"/>
    <w:basedOn w:val="0"/>
    <w:next w:val="0"/>
    <w:pPr>
      <w:keepNext/>
      <w:keepLines/>
      <w:spacing w:beforeLines="0" w:before="260" w:after="260" w:line="415" w:lineRule="auto"/>
      <w:outlineLvl w:val="2"/>
    </w:pPr>
    <w:rPr>
      <w:b/>
      <w:bCs/>
      <w:sz w:val="32"/>
      <w:szCs w:val="32"/>
    </w:rPr>
  </w:style>
  <w:style w:type="paragraph" w:styleId="4">
    <w:name w:val="heading 4"/>
    <w:basedOn w:val="0"/>
    <w:next w:val="0"/>
    <w:pPr>
      <w:keepNext/>
      <w:keepLines/>
      <w:spacing w:beforeLines="0" w:before="280" w:after="290" w:line="377" w:lineRule="auto"/>
      <w:outlineLvl w:val="3"/>
    </w:pPr>
    <w:rPr>
      <w:rFonts w:ascii="等线 Light" w:eastAsia="等线 Light" w:cs="Times New Roman"/>
      <w:b/>
      <w:bCs/>
      <w:sz w:val="28"/>
      <w:szCs w:val="28"/>
    </w:rPr>
  </w:style>
  <w:style w:type="character" w:default="1" w:styleId="10">
    <w:name w:val="Default Paragraph Font"/>
  </w:style>
  <w:style w:type="paragraph" w:styleId="15">
    <w:name w:val="toc 7"/>
    <w:basedOn w:val="0"/>
    <w:next w:val="0"/>
    <w:pPr>
      <w:spacing w:beforeLines="0" w:before="0"/>
      <w:ind w:left="1260"/>
    </w:pPr>
    <w:rPr>
      <w:rFonts w:ascii="等线" w:eastAsia="等线"/>
      <w:sz w:val="18"/>
      <w:szCs w:val="18"/>
    </w:rPr>
  </w:style>
  <w:style w:type="paragraph" w:styleId="16">
    <w:name w:val="annotation text"/>
    <w:basedOn w:val="0"/>
  </w:style>
  <w:style w:type="paragraph" w:styleId="17">
    <w:name w:val="toc 5"/>
    <w:basedOn w:val="0"/>
    <w:next w:val="0"/>
    <w:pPr>
      <w:spacing w:beforeLines="0" w:before="0"/>
      <w:ind w:left="840"/>
    </w:pPr>
    <w:rPr>
      <w:rFonts w:ascii="等线" w:eastAsia="等线"/>
      <w:sz w:val="18"/>
      <w:szCs w:val="18"/>
    </w:rPr>
  </w:style>
  <w:style w:type="paragraph" w:styleId="18">
    <w:name w:val="toc 3"/>
    <w:basedOn w:val="0"/>
    <w:next w:val="0"/>
    <w:pPr>
      <w:spacing w:beforeLines="0" w:before="0"/>
      <w:ind w:left="420"/>
    </w:pPr>
    <w:rPr>
      <w:rFonts w:ascii="等线" w:eastAsia="等线"/>
      <w:i/>
      <w:iCs/>
      <w:sz w:val="20"/>
      <w:szCs w:val="20"/>
    </w:rPr>
  </w:style>
  <w:style w:type="paragraph" w:styleId="19">
    <w:name w:val="toc 8"/>
    <w:basedOn w:val="0"/>
    <w:next w:val="0"/>
    <w:pPr>
      <w:spacing w:beforeLines="0" w:before="0"/>
      <w:ind w:left="1470"/>
    </w:pPr>
    <w:rPr>
      <w:rFonts w:ascii="等线" w:eastAsia="等线"/>
      <w:sz w:val="18"/>
      <w:szCs w:val="18"/>
    </w:rPr>
  </w:style>
  <w:style w:type="paragraph" w:styleId="20">
    <w:name w:val="Balloon Text"/>
    <w:basedOn w:val="0"/>
    <w:rPr>
      <w:rFonts w:ascii="Times New Roman" w:cs="Times New Roman" w:hAnsi="Times New Roman"/>
      <w:sz w:val="18"/>
      <w:szCs w:val="18"/>
    </w:rPr>
  </w:style>
  <w:style w:type="paragraph" w:styleId="21">
    <w:name w:val="footer"/>
    <w:basedOn w:val="0"/>
    <w:pPr>
      <w:tabs>
        <w:tab w:val="center" w:pos="4153"/>
        <w:tab w:val="right" w:pos="8306"/>
      </w:tabs>
      <w:snapToGrid w:val="0"/>
    </w:pPr>
    <w:rPr>
      <w:sz w:val="18"/>
      <w:szCs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paragraph" w:styleId="23">
    <w:name w:val="toc 1"/>
    <w:basedOn w:val="1"/>
    <w:next w:val="1"/>
    <w:pPr>
      <w:tabs>
        <w:tab w:val="right" w:pos="9730"/>
      </w:tabs>
      <w:spacing w:beforeLines="0" w:before="0" w:afterLines="0" w:after="0" w:line="240" w:lineRule="auto"/>
      <w:jc w:val="left"/>
      <w:outlineLvl w:val="9"/>
    </w:pPr>
    <w:rPr>
      <w:rFonts w:ascii="等线" w:hAnsi="等线"/>
      <w:b w:val="0"/>
      <w:caps/>
      <w:smallCaps w:val="0"/>
      <w:kern w:val="0"/>
      <w:sz w:val="21"/>
      <w:szCs w:val="20"/>
    </w:rPr>
  </w:style>
  <w:style w:type="paragraph" w:styleId="24">
    <w:name w:val="toc 4"/>
    <w:basedOn w:val="0"/>
    <w:next w:val="0"/>
    <w:pPr>
      <w:spacing w:beforeLines="0" w:before="0"/>
      <w:ind w:left="630"/>
    </w:pPr>
    <w:rPr>
      <w:rFonts w:ascii="等线" w:eastAsia="等线"/>
      <w:sz w:val="18"/>
      <w:szCs w:val="18"/>
    </w:rPr>
  </w:style>
  <w:style w:type="paragraph" w:styleId="25">
    <w:name w:val="Subtitle"/>
    <w:basedOn w:val="0"/>
    <w:next w:val="0"/>
    <w:pPr>
      <w:spacing w:beforeLines="0" w:before="60" w:after="60" w:line="312" w:lineRule="auto"/>
      <w:jc w:val="center"/>
      <w:outlineLvl w:val="1"/>
    </w:pPr>
    <w:rPr>
      <w:rFonts w:ascii="等线" w:cs="Arial"/>
      <w:bCs/>
      <w:kern w:val="28"/>
      <w:szCs w:val="32"/>
    </w:rPr>
  </w:style>
  <w:style w:type="paragraph" w:styleId="26">
    <w:name w:val="toc 6"/>
    <w:basedOn w:val="0"/>
    <w:next w:val="0"/>
    <w:pPr>
      <w:spacing w:beforeLines="0" w:before="0"/>
      <w:ind w:left="1050"/>
    </w:pPr>
    <w:rPr>
      <w:rFonts w:ascii="等线" w:eastAsia="等线"/>
      <w:sz w:val="18"/>
      <w:szCs w:val="18"/>
    </w:rPr>
  </w:style>
  <w:style w:type="paragraph" w:styleId="27">
    <w:name w:val="toc 2"/>
    <w:basedOn w:val="0"/>
    <w:next w:val="0"/>
    <w:pPr>
      <w:spacing w:beforeLines="0" w:before="0"/>
    </w:pPr>
    <w:rPr>
      <w:rFonts w:ascii="等线" w:eastAsia="等线"/>
      <w:caps w:val="0"/>
      <w:smallCaps/>
      <w:szCs w:val="20"/>
    </w:rPr>
  </w:style>
  <w:style w:type="paragraph" w:styleId="28">
    <w:name w:val="toc 9"/>
    <w:basedOn w:val="0"/>
    <w:next w:val="0"/>
    <w:pPr>
      <w:spacing w:beforeLines="0" w:before="0"/>
      <w:ind w:left="1680"/>
    </w:pPr>
    <w:rPr>
      <w:rFonts w:ascii="等线" w:eastAsia="等线"/>
      <w:sz w:val="18"/>
      <w:szCs w:val="18"/>
    </w:rPr>
  </w:style>
  <w:style w:type="paragraph" w:styleId="29">
    <w:name w:val="Normal (Web)"/>
    <w:basedOn w:val="0"/>
    <w:pPr>
      <w:spacing w:beforeLines="0" w:before="100" w:beforeAutospacing="1" w:after="100" w:afterAutospacing="1"/>
    </w:pPr>
  </w:style>
  <w:style w:type="paragraph" w:styleId="30">
    <w:name w:val="Title"/>
    <w:basedOn w:val="0"/>
    <w:next w:val="0"/>
    <w:pPr>
      <w:spacing w:beforeLines="0" w:before="240" w:after="60"/>
      <w:jc w:val="center"/>
      <w:outlineLvl w:val="0"/>
    </w:pPr>
    <w:rPr>
      <w:rFonts w:ascii="等线 Light" w:eastAsia="Songti SC" w:cs="Times New Roman" w:hAnsi="等线 Light"/>
      <w:b/>
      <w:bCs/>
      <w:sz w:val="32"/>
      <w:szCs w:val="32"/>
    </w:rPr>
  </w:style>
  <w:style w:type="paragraph" w:styleId="31">
    <w:name w:val="annotation subject"/>
    <w:basedOn w:val="16"/>
    <w:next w:val="16"/>
    <w:rPr>
      <w:b/>
      <w:bCs/>
    </w:rPr>
  </w:style>
  <w:style w:type="character" w:styleId="32">
    <w:name w:val="page number"/>
    <w:basedOn w:val="10"/>
  </w:style>
  <w:style w:type="character" w:styleId="33">
    <w:name w:val="FollowedHyperlink"/>
    <w:basedOn w:val="10"/>
    <w:rPr>
      <w:color w:val="954F72"/>
      <w:u w:val="single"/>
    </w:rPr>
  </w:style>
  <w:style w:type="character" w:styleId="34">
    <w:name w:val="Hyperlink"/>
    <w:basedOn w:val="10"/>
    <w:rPr>
      <w:color w:val="0000FF"/>
      <w:u w:val="none"/>
    </w:rPr>
  </w:style>
  <w:style w:type="character" w:styleId="35">
    <w:name w:val="annotation reference"/>
    <w:basedOn w:val="10"/>
    <w:rPr>
      <w:sz w:val="21"/>
      <w:szCs w:val="21"/>
    </w:rPr>
  </w:style>
  <w:style w:type="paragraph" w:customStyle="1" w:styleId="36">
    <w:name w:val="doc-a"/>
    <w:basedOn w:val="0"/>
    <w:pPr>
      <w:spacing w:beforeLines="0" w:before="100" w:beforeAutospacing="1" w:after="100" w:afterAutospacing="1"/>
    </w:pPr>
    <w:rPr>
      <w:rFonts w:ascii="微软雅黑" w:eastAsia="微软雅黑"/>
    </w:rPr>
  </w:style>
  <w:style w:type="paragraph" w:customStyle="1" w:styleId="37">
    <w:name w:val="cnsubtitle"/>
    <w:basedOn w:val="0"/>
    <w:pPr>
      <w:spacing w:beforeLines="0" w:before="315" w:after="315" w:line="300" w:lineRule="exact"/>
    </w:pPr>
    <w:rPr>
      <w:rFonts w:ascii="微软雅黑" w:eastAsia="微软雅黑"/>
    </w:rPr>
  </w:style>
  <w:style w:type="paragraph" w:customStyle="1" w:styleId="38">
    <w:name w:val="cntitle"/>
    <w:basedOn w:val="0"/>
    <w:pPr>
      <w:spacing w:beforeLines="0" w:before="150" w:after="150"/>
      <w:ind w:left="150" w:right="150"/>
      <w:jc w:val="center"/>
    </w:pPr>
    <w:rPr>
      <w:rFonts w:ascii="微软雅黑" w:eastAsia="微软雅黑"/>
      <w:b/>
      <w:bCs/>
      <w:vanish/>
    </w:rPr>
  </w:style>
  <w:style w:type="paragraph" w:customStyle="1" w:styleId="39">
    <w:name w:val="promulgatetitle"/>
    <w:basedOn w:val="0"/>
    <w:pPr>
      <w:spacing w:beforeLines="0" w:before="100" w:beforeAutospacing="1" w:after="100" w:afterAutospacing="1"/>
      <w:jc w:val="center"/>
    </w:pPr>
    <w:rPr>
      <w:rFonts w:ascii="微软雅黑" w:eastAsia="微软雅黑"/>
      <w:b/>
      <w:bCs/>
      <w:vanish/>
    </w:rPr>
  </w:style>
  <w:style w:type="paragraph" w:customStyle="1" w:styleId="40">
    <w:name w:val="promulgatesubtitle"/>
    <w:basedOn w:val="0"/>
    <w:pPr>
      <w:spacing w:beforeLines="0" w:before="150" w:after="150"/>
      <w:ind w:left="150" w:right="150"/>
      <w:jc w:val="center"/>
    </w:pPr>
    <w:rPr>
      <w:rFonts w:ascii="微软雅黑" w:eastAsia="微软雅黑"/>
      <w:sz w:val="23"/>
      <w:szCs w:val="23"/>
    </w:rPr>
  </w:style>
  <w:style w:type="paragraph" w:customStyle="1" w:styleId="41">
    <w:name w:val="promulgatedate"/>
    <w:basedOn w:val="0"/>
    <w:pPr>
      <w:jc w:val="right"/>
    </w:pPr>
  </w:style>
  <w:style w:type="paragraph" w:customStyle="1" w:styleId="42">
    <w:name w:val="promulgatesignatory"/>
    <w:basedOn w:val="0"/>
    <w:pPr>
      <w:jc w:val="right"/>
    </w:pPr>
  </w:style>
  <w:style w:type="paragraph" w:customStyle="1" w:styleId="43">
    <w:name w:val="标题1"/>
    <w:basedOn w:val="0"/>
    <w:pPr>
      <w:spacing w:beforeLines="0" w:before="100" w:beforeAutospacing="1" w:after="100" w:afterAutospacing="1"/>
    </w:pPr>
    <w:rPr>
      <w:rFonts w:ascii="微软雅黑" w:eastAsia="微软雅黑"/>
    </w:rPr>
  </w:style>
  <w:style w:type="paragraph" w:customStyle="1" w:styleId="44">
    <w:name w:val="catalog-a"/>
    <w:basedOn w:val="0"/>
    <w:pPr>
      <w:spacing w:beforeLines="0" w:before="100" w:beforeAutospacing="1" w:after="100" w:afterAutospacing="1"/>
    </w:pPr>
  </w:style>
  <w:style w:type="character" w:customStyle="1" w:styleId="45">
    <w:name w:val="chaptertitle"/>
    <w:basedOn w:val="10"/>
    <w:rPr>
      <w:rFonts w:ascii="微软雅黑" w:eastAsia="微软雅黑"/>
      <w:b/>
      <w:bCs/>
      <w:sz w:val="21"/>
      <w:szCs w:val="21"/>
    </w:rPr>
  </w:style>
  <w:style w:type="character" w:customStyle="1" w:styleId="46">
    <w:name w:val="metaname1"/>
    <w:basedOn w:val="10"/>
    <w:rPr>
      <w:rFonts w:ascii="微软雅黑" w:eastAsia="微软雅黑"/>
      <w:b/>
      <w:bCs/>
      <w:sz w:val="21"/>
      <w:szCs w:val="21"/>
    </w:rPr>
  </w:style>
  <w:style w:type="character" w:customStyle="1" w:styleId="47">
    <w:name w:val="sect2title1"/>
    <w:basedOn w:val="10"/>
    <w:rPr>
      <w:rFonts w:ascii="微软雅黑" w:eastAsia="微软雅黑"/>
      <w:b/>
      <w:bCs/>
      <w:sz w:val="21"/>
      <w:szCs w:val="21"/>
    </w:rPr>
  </w:style>
  <w:style w:type="character" w:customStyle="1" w:styleId="48">
    <w:name w:val="title1"/>
    <w:basedOn w:val="10"/>
    <w:rPr>
      <w:rFonts w:ascii="微软雅黑" w:eastAsia="微软雅黑"/>
      <w:sz w:val="21"/>
      <w:szCs w:val="21"/>
    </w:rPr>
  </w:style>
  <w:style w:type="character" w:customStyle="1" w:styleId="49">
    <w:name w:val="sect1title1"/>
    <w:basedOn w:val="10"/>
    <w:rPr>
      <w:rFonts w:ascii="微软雅黑" w:eastAsia="微软雅黑"/>
      <w:b/>
      <w:bCs/>
      <w:sz w:val="21"/>
      <w:szCs w:val="21"/>
    </w:rPr>
  </w:style>
  <w:style w:type="paragraph" w:customStyle="1" w:styleId="50">
    <w:name w:val="TOC Heading"/>
    <w:basedOn w:val="1"/>
    <w:next w:val="0"/>
    <w:pPr>
      <w:keepNext/>
      <w:keepLines/>
      <w:spacing w:beforeLines="0" w:before="480" w:afterLines="0" w:after="0" w:line="276" w:lineRule="auto"/>
      <w:outlineLvl w:val="9"/>
    </w:pPr>
    <w:rPr>
      <w:rFonts w:ascii="等线 Light" w:eastAsia="等线 Light" w:cs="Times New Roman"/>
      <w:color w:val="2F5597"/>
      <w:kern w:val="0"/>
      <w:szCs w:val="28"/>
    </w:rPr>
  </w:style>
  <w:style w:type="paragraph" w:customStyle="1" w:styleId="51">
    <w:name w:val="Revision"/>
    <w:rPr>
      <w:rFonts w:ascii="宋体" w:eastAsia="宋体" w:cs="宋体"/>
      <w:kern w:val="0"/>
      <w:sz w:val="24"/>
      <w:szCs w:val="24"/>
      <w:lang w:val="en-US" w:eastAsia="zh-CN" w:bidi="ar-SA"/>
    </w:rPr>
  </w:style>
  <w:style w:type="paragraph" w:styleId="52">
    <w:name w:val="Quote"/>
    <w:basedOn w:val="0"/>
    <w:next w:val="0"/>
    <w:pPr>
      <w:spacing w:beforeLines="25" w:before="25" w:line="240" w:lineRule="exact"/>
    </w:pPr>
    <w:rPr>
      <w:iCs/>
      <w:color w:val="40404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10</Pages>
  <Words>5063</Words>
  <Characters>5069</Characters>
  <Lines>225</Lines>
  <Paragraphs>103</Paragraphs>
  <CharactersWithSpaces>5185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红星闪闪</dc:creator>
  <cp:lastModifiedBy>kylin</cp:lastModifiedBy>
  <cp:revision>64</cp:revision>
  <cp:lastPrinted>2024-02-29T16:23:00Z</cp:lastPrinted>
  <dcterms:created xsi:type="dcterms:W3CDTF">2017-10-13T19:02:00Z</dcterms:created>
  <dcterms:modified xsi:type="dcterms:W3CDTF">2024-04-07T01:41:04Z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2052-11.8.2.1131</vt:lpwstr>
  </property>
  <property fmtid="{D5CDD505-2E9C-101B-9397-08002B2CF9AE}" pid="3" name="ICV">
    <vt:lpwstr>863A84A6CA4547A6995ED6E039F7999B_13</vt:lpwstr>
  </property>
</Properties>
</file>