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ind w:left="0"/>
        <w:jc w:val="left"/>
        <w:rPr>
          <w:rFonts w:ascii="黑体" w:eastAsia="黑体" w:cs="Times New Roman" w:hint="eastAsia"/>
          <w:sz w:val="32"/>
          <w:szCs w:val="32"/>
          <w:lang w:bidi="ar-SA"/>
        </w:rPr>
      </w:pPr>
      <w:r>
        <w:rPr>
          <w:rFonts w:ascii="黑体" w:eastAsia="黑体" w:cs="Times New Roman" w:hint="eastAsia"/>
          <w:sz w:val="32"/>
          <w:szCs w:val="32"/>
          <w:lang w:bidi="ar-SA"/>
        </w:rPr>
        <w:t>附件</w:t>
      </w:r>
    </w:p>
    <w:p>
      <w:pPr>
        <w:spacing w:line="480" w:lineRule="exact"/>
        <w:jc w:val="center"/>
        <w:rPr>
          <w:rFonts w:ascii="Times New Roman" w:eastAsia="方正小标宋简体" w:cs="Times New Roman" w:hAnsi="Times New Roman"/>
          <w:sz w:val="44"/>
          <w:szCs w:val="44"/>
        </w:rPr>
      </w:pPr>
      <w:bookmarkStart w:id="0" w:name="_GoBack"/>
      <w:r>
        <w:rPr>
          <w:rFonts w:ascii="Times New Roman" w:eastAsia="方正小标宋简体" w:cs="Times New Roman" w:hAnsi="Times New Roman"/>
          <w:sz w:val="44"/>
          <w:szCs w:val="44"/>
        </w:rPr>
        <w:t>2023年度全市司法行政系统法治惠民实事项目</w:t>
      </w:r>
    </w:p>
    <w:p>
      <w:pPr>
        <w:pStyle w:val="133"/>
        <w:rPr>
          <w:rFonts w:ascii="Times New Roman" w:cs="Times New Roman" w:hAnsi="Times New Roman"/>
          <w:color w:val="auto"/>
        </w:rPr>
      </w:pPr>
      <w:bookmarkEnd w:id="0"/>
    </w:p>
    <w:tbl>
      <w:tblPr>
        <w:jc w:val="left"/>
        <w:tblInd w:w="-12" w:type="dxa"/>
        <w:tblW w:w="14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5"/>
        <w:gridCol w:w="1635"/>
        <w:gridCol w:w="3660"/>
        <w:gridCol w:w="6044"/>
        <w:gridCol w:w="2128"/>
      </w:tblGrid>
      <w:tr>
        <w:trPr>
          <w:trHeight w:val="995"/>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560" w:lineRule="exact"/>
              <w:jc w:val="center"/>
              <w:rPr>
                <w:rFonts w:ascii="Times New Roman" w:eastAsia="黑体" w:cs="Times New Roman" w:hAnsi="Times New Roman"/>
                <w:sz w:val="28"/>
                <w:szCs w:val="28"/>
              </w:rPr>
            </w:pPr>
            <w:r>
              <w:rPr>
                <w:rFonts w:ascii="Times New Roman" w:eastAsia="黑体" w:cs="Times New Roman" w:hAnsi="Times New Roman"/>
                <w:sz w:val="28"/>
                <w:szCs w:val="28"/>
              </w:rPr>
              <w:t>序号</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560" w:lineRule="exact"/>
              <w:jc w:val="center"/>
              <w:rPr>
                <w:rFonts w:ascii="Times New Roman" w:eastAsia="黑体" w:cs="Times New Roman" w:hAnsi="Times New Roman"/>
                <w:sz w:val="28"/>
                <w:szCs w:val="28"/>
              </w:rPr>
            </w:pPr>
            <w:r>
              <w:rPr>
                <w:rFonts w:ascii="Times New Roman" w:eastAsia="黑体" w:cs="Times New Roman" w:hAnsi="Times New Roman"/>
                <w:sz w:val="28"/>
                <w:szCs w:val="28"/>
              </w:rPr>
              <w:t>项目名称</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560" w:lineRule="exact"/>
              <w:jc w:val="center"/>
              <w:rPr>
                <w:rFonts w:ascii="Times New Roman" w:eastAsia="黑体" w:cs="Times New Roman" w:hAnsi="Times New Roman"/>
                <w:sz w:val="28"/>
                <w:szCs w:val="28"/>
              </w:rPr>
            </w:pPr>
            <w:r>
              <w:rPr>
                <w:rFonts w:ascii="Times New Roman" w:eastAsia="黑体" w:cs="Times New Roman" w:hAnsi="Times New Roman"/>
                <w:sz w:val="28"/>
                <w:szCs w:val="28"/>
              </w:rPr>
              <w:t>内  容</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560" w:lineRule="exact"/>
              <w:jc w:val="center"/>
              <w:rPr>
                <w:rFonts w:ascii="Times New Roman" w:eastAsia="黑体" w:cs="Times New Roman" w:hAnsi="Times New Roman"/>
                <w:sz w:val="28"/>
                <w:szCs w:val="28"/>
              </w:rPr>
            </w:pPr>
            <w:r>
              <w:rPr>
                <w:rFonts w:ascii="Times New Roman" w:eastAsia="黑体" w:cs="Times New Roman" w:hAnsi="Times New Roman"/>
                <w:sz w:val="28"/>
                <w:szCs w:val="28"/>
              </w:rPr>
              <w:t>具体措施</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560" w:lineRule="exact"/>
              <w:jc w:val="center"/>
              <w:rPr>
                <w:rFonts w:ascii="Times New Roman" w:eastAsia="黑体" w:cs="Times New Roman" w:hAnsi="Times New Roman"/>
                <w:sz w:val="28"/>
                <w:szCs w:val="28"/>
              </w:rPr>
            </w:pPr>
            <w:r>
              <w:rPr>
                <w:rFonts w:ascii="Times New Roman" w:eastAsia="黑体" w:cs="Times New Roman" w:hAnsi="Times New Roman"/>
                <w:sz w:val="28"/>
                <w:szCs w:val="28"/>
              </w:rPr>
              <w:t>牵头部门</w:t>
            </w:r>
          </w:p>
        </w:tc>
      </w:tr>
      <w:tr>
        <w:trPr>
          <w:trHeight w:val="2786"/>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z w:val="24"/>
              </w:rPr>
              <w:t>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法律援助提质增效工程</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加大对困难群体法律援助帮扶力度，办理法律援助案件不少于4700件；新增40个法律援助工作站点，建成退役军人法律援助服务站30家；扩大行政诉讼法律援助范围，</w:t>
            </w:r>
            <w:r>
              <w:rPr>
                <w:rFonts w:ascii="Times New Roman" w:eastAsia="仿宋_GB2312" w:cs="Times New Roman" w:hAnsi="Times New Roman"/>
                <w:sz w:val="24"/>
              </w:rPr>
              <w:t>促进行政争议实质化解。</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1.对符合法律援助条件的当事人，根据案情需要和困难情况减免费用。2.与司法鉴定、公证等法律服务机构建立信息共享机制，受援人持法律援助指派函到相关机构办理服务事项，按照规定享受费用减免，无需另行申请。3.按照“就近申请、一站审批、全域通办”要求加大法律援助工作站建设力度，配合退役军人事务管理局做好退役军人法律援助站建设。4.</w:t>
            </w:r>
            <w:r>
              <w:rPr>
                <w:rFonts w:ascii="Times New Roman" w:eastAsia="仿宋_GB2312" w:cs="Times New Roman" w:hAnsi="Times New Roman"/>
                <w:sz w:val="24"/>
              </w:rPr>
              <w:t>将涉及食品药品、环境资源等与民生紧密相关事项纳入行政法律援助范围，建立健全参与诉前调解、和解机制，实施人民法院初审引制度，常态化开展案件质量反馈和信息共享研判等工作。</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pacing w:val="-20"/>
                <w:sz w:val="24"/>
              </w:rPr>
              <w:t>公共法律服务管理处</w:t>
            </w:r>
          </w:p>
        </w:tc>
      </w:tr>
      <w:tr>
        <w:trPr>
          <w:trHeight w:val="1909"/>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z w:val="24"/>
              </w:rPr>
              <w:t>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建成市级公共法律服务中心</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建设连云港市公共法律服务中心，规划建设集接待、立案、阅卷、调解、听证、审理和档案管理等功能于一体的法律服务中心，为群众提供“综合性、一站式、标准化”的人工与智能服务。</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制定市公共法律服务中心建设序时进度表，精心组织，科学施工，高标准、严要求、抓进度、保质量，精心建设优质工程，确保项目年内建成投运、发挥效益。</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pacing w:val="-20"/>
                <w:sz w:val="24"/>
              </w:rPr>
              <w:t>公共法律服务管理处</w:t>
            </w:r>
          </w:p>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装备财务保障处</w:t>
            </w:r>
          </w:p>
        </w:tc>
      </w:tr>
      <w:tr>
        <w:trPr>
          <w:trHeight w:val="2340"/>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3</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pacing w:val="-6"/>
                <w:sz w:val="24"/>
              </w:rPr>
              <w:t>开展“村（居）法律顾问千场讲法、人民调解员入网格进万家”活动</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left"/>
              <w:rPr>
                <w:rFonts w:ascii="Times New Roman" w:eastAsia="仿宋_GB2312" w:cs="Times New Roman" w:hAnsi="Times New Roman"/>
                <w:sz w:val="24"/>
              </w:rPr>
            </w:pPr>
            <w:r>
              <w:rPr>
                <w:rFonts w:ascii="Times New Roman" w:eastAsia="仿宋_GB2312" w:cs="Times New Roman" w:hAnsi="Times New Roman"/>
                <w:sz w:val="24"/>
              </w:rPr>
              <w:t>充分发挥村(居)法律顾问、人民调解员专业优势，为群众提供便民高效的法律服务,切实维护人民群众合法权益和社会和谐稳定。</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sz w:val="24"/>
              </w:rPr>
            </w:pPr>
            <w:r>
              <w:rPr>
                <w:rFonts w:ascii="Times New Roman" w:eastAsia="仿宋_GB2312" w:cs="Times New Roman" w:hAnsi="Times New Roman"/>
                <w:bCs/>
                <w:sz w:val="24"/>
              </w:rPr>
              <w:t>1.围绕乡村振兴战略，紧扣休闲农业等新产业新业态和农村土地流转、生产经营等重点问题，引导法律顾问为挂钩服务的村（居）举办至少1场法治宣传讲座。2.各地根据“合村并镇”的实际情况，可进行法律顾问动态调整，及时补齐配强人员力量。3.组织人民调解员主动融入基层社会治理网格，紧盯社会安全重大风险隐患开展常态化、滚动式排摸分析，及时发现和有效处置矛盾纠纷隐患。</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_GB2312" w:cs="Times New Roman" w:hAnsi="Times New Roman"/>
                <w:sz w:val="24"/>
              </w:rPr>
            </w:pPr>
            <w:r>
              <w:rPr>
                <w:rFonts w:ascii="Times New Roman" w:eastAsia="仿宋_GB2312" w:cs="Times New Roman" w:hAnsi="Times New Roman"/>
                <w:bCs/>
                <w:spacing w:val="-20"/>
                <w:sz w:val="24"/>
              </w:rPr>
              <w:t>公共法律服务管理处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eastAsia="仿宋_GB2312" w:cs="Times New Roman" w:hAnsi="Times New Roman"/>
                <w:bCs/>
                <w:sz w:val="24"/>
              </w:rPr>
            </w:pPr>
            <w:r>
              <w:rPr>
                <w:rFonts w:ascii="Times New Roman" w:eastAsia="仿宋_GB2312" w:cs="Times New Roman" w:hAnsi="Times New Roman"/>
                <w:bCs/>
                <w:spacing w:val="-28"/>
                <w:sz w:val="24"/>
              </w:rPr>
              <w:t>人民参与和促进法治处</w:t>
            </w:r>
          </w:p>
        </w:tc>
      </w:tr>
      <w:tr>
        <w:trPr>
          <w:trHeight w:val="2439"/>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4</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开展商会商事调解培优行动</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left"/>
              <w:rPr>
                <w:rFonts w:ascii="Times New Roman" w:eastAsia="仿宋_GB2312" w:cs="Times New Roman" w:hAnsi="Times New Roman"/>
                <w:sz w:val="24"/>
              </w:rPr>
            </w:pPr>
            <w:r>
              <w:rPr>
                <w:rFonts w:ascii="Times New Roman" w:eastAsia="仿宋_GB2312" w:cs="Times New Roman" w:hAnsi="Times New Roman"/>
                <w:sz w:val="24"/>
              </w:rPr>
              <w:t>聚焦重点领域，大力发展消费、环保、物流、电商业等行业性专业性调解组织；充分发挥劳动争议调解委员会职能，构建劳动争议多元化解工作体系。</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sz w:val="24"/>
              </w:rPr>
            </w:pPr>
            <w:r>
              <w:rPr>
                <w:rFonts w:ascii="Times New Roman" w:eastAsia="仿宋_GB2312" w:cs="Times New Roman" w:hAnsi="Times New Roman"/>
                <w:bCs/>
                <w:sz w:val="24"/>
              </w:rPr>
              <w:t>1.积极推动规模较大、职工较多、纠纷多发的企事业单位建立人民调解委员会，年内新建企业人民调解组织50家。2.开展中小企业和个体工商户“法治体检”，加大复产就业、劳资债务等矛盾纠纷排查化解力度。3.优化创新以“网格化”服务、“规范化”预防、“一体化”联动“三化”机制为依托，打造出基层调解、裁前调解、诉调对接、诉裁衔接、法律援助“五位一体”多元化解劳动争议新模式。</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pacing w:val="-28"/>
                <w:sz w:val="24"/>
              </w:rPr>
              <w:t>人民参与和促进法治处</w:t>
            </w:r>
          </w:p>
        </w:tc>
      </w:tr>
      <w:tr>
        <w:trPr>
          <w:trHeight w:val="2540"/>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5</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pacing w:val="-6"/>
                <w:sz w:val="24"/>
              </w:rPr>
            </w:pPr>
            <w:r>
              <w:rPr>
                <w:rFonts w:ascii="Times New Roman" w:eastAsia="仿宋_GB2312" w:cs="Times New Roman" w:hAnsi="Times New Roman"/>
                <w:bCs/>
                <w:spacing w:val="-6"/>
                <w:sz w:val="24"/>
              </w:rPr>
              <w:t>推行远程</w:t>
            </w:r>
          </w:p>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pacing w:val="-6"/>
                <w:sz w:val="24"/>
              </w:rPr>
              <w:t>公证服务</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pacing w:val="-11"/>
                <w:sz w:val="24"/>
              </w:rPr>
              <w:t>在28个乡镇街道推行远程公证服务。</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1.延展公证服务范围，在乡镇等部分偏远地区，推出传送速度更快、具备公证书打印功能的远程公证视频一体机，并在现场安排专职工作人员指导办理。2.推出“连公通”公证视频小程序，群众使用手机下载公证视频小程序APP后，可以随时在网上提交预约办理公证申请，公证人员收到申请后联线当事人引导提交所需资料，公证机构审核审批后予以出证，当事人可以在App小程序中同步查询受理情况、办理进度等信息。</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公证管理处</w:t>
            </w:r>
          </w:p>
        </w:tc>
      </w:tr>
      <w:tr>
        <w:trPr>
          <w:trHeight w:val="1338"/>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6</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z w:val="24"/>
              </w:rPr>
              <w:t>推行商业秘密在线保护公证平台</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组织规模大、实力强的市级公证机构与自贸区、开发区等地区有需求的大型企业接洽，先行推广运用商业秘密在线保护平台。</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目前省内已在南京公证处开展试点，结合我市经济实体发展需要推广运用商业秘密在线保护公证平台，进一步加强我市企业知识产权保护，持续增强企业的创新动能。</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公证管理处</w:t>
            </w:r>
          </w:p>
        </w:tc>
      </w:tr>
      <w:tr>
        <w:trPr>
          <w:trHeight w:val="2231"/>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7</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sz w:val="24"/>
              </w:rPr>
            </w:pPr>
            <w:r>
              <w:rPr>
                <w:rFonts w:ascii="Times New Roman" w:eastAsia="仿宋_GB2312" w:cs="Times New Roman" w:hAnsi="Times New Roman"/>
                <w:bCs/>
                <w:sz w:val="24"/>
              </w:rPr>
              <w:t>开展特殊人群职业技能培训帮扶</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结合培训机构的项目优势和特殊人群群体的特点和学习意愿，全面提升特殊人群职业技能和就业创业能力，完成补贴性职业技能培训。</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1.在充分调研就业形势、社会用工需求的基础上，结合培训机构的项目优势和特殊人群群体的特点和学习意愿，探索“分类培训、以需定培、培用对接”的创新思路。2. 整合江苏省赣榆中等专业学校和东海海陵技工学校等培训机构，创建“线上+线下”技能培训新模式。3. 加强地方人社局、财政局、职业培训机构的联动工作，对特殊人群开展“转变就业观念，提高就业能力”就业指导主题会。</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_GB2312" w:cs="Times New Roman" w:hAnsi="Times New Roman"/>
                <w:bCs/>
                <w:sz w:val="24"/>
              </w:rPr>
            </w:pPr>
            <w:r>
              <w:rPr>
                <w:rFonts w:ascii="Times New Roman" w:eastAsia="仿宋_GB2312" w:cs="Times New Roman" w:hAnsi="Times New Roman"/>
                <w:bCs/>
                <w:spacing w:val="-17"/>
                <w:sz w:val="24"/>
              </w:rPr>
              <w:t>刑释解戒工作协调处</w:t>
            </w:r>
            <w:r>
              <w:rPr>
                <w:rFonts w:ascii="Times New Roman" w:eastAsia="仿宋_GB2312" w:cs="Times New Roman" w:hAnsi="Times New Roman"/>
                <w:bCs/>
                <w:sz w:val="24"/>
              </w:rPr>
              <w:t>社区矫正管理局</w:t>
            </w:r>
          </w:p>
        </w:tc>
      </w:tr>
      <w:tr>
        <w:trPr>
          <w:trHeight w:val="2983"/>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8</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pacing w:val="-6"/>
                <w:sz w:val="24"/>
              </w:rPr>
              <w:t>开展提升立法制规公众参与度专项活动</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提升立法公众参与度，发挥基层立法联系点作用，推动涉民生领域立法制规项目起草制定，开展涉民生领域立法后评估工作</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1.推动《连云港市住宅小区装饰装修管理条例》《连云港市环境卫生设施配套建设实施办法》《连云港市住房公积金管理办法》《连云港市灵活就业人员参加住房公积金制度管理试行办法》等涉民生领域立法制规项目起草制定。2.提升立法公众参与度，加强基层立法联系点规范化建设，充分发挥基层立法联系点和“立法民意直通</w:t>
            </w:r>
            <w:r>
              <w:rPr>
                <w:rFonts w:ascii="Times New Roman" w:eastAsia="仿宋_GB2312" w:cs="Times New Roman" w:hAnsi="Times New Roman"/>
                <w:bCs/>
                <w:spacing w:val="-6"/>
                <w:sz w:val="24"/>
              </w:rPr>
              <w:t>车”作用，常态化收集、梳理、反馈群众高频法治需求和热点问题。3.梳理总结国家和省在相关民生领域出台的法律法规和规范性文件内容，开展涉民生领域立法后评估工作，摸清法律实施效果和需求，提出相关对策建议。</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立法处</w:t>
            </w:r>
          </w:p>
        </w:tc>
      </w:tr>
      <w:tr>
        <w:trPr>
          <w:trHeight w:val="1549"/>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9</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z w:val="24"/>
              </w:rPr>
              <w:t>开展“连律链企”专项行动</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pacing w:val="-6"/>
                <w:sz w:val="24"/>
              </w:rPr>
              <w:t>统筹全市律师优势资源，不断深化融合式、集成化法律服务，为链上企业提供全流程、专业化法律保障。</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围绕全市十大主导产业链、52条细分产业链，梳理产业链重点企业清单，针对不同产业链法律服务需求，建立专业法律服务团，制定相关产业链服务标准，在促进投</w:t>
            </w:r>
            <w:r>
              <w:rPr>
                <w:rFonts w:ascii="Times New Roman" w:eastAsia="仿宋_GB2312" w:cs="Times New Roman" w:hAnsi="Times New Roman"/>
                <w:bCs/>
                <w:spacing w:val="-6"/>
                <w:sz w:val="24"/>
              </w:rPr>
              <w:t>资落地、企业科技创新、知识产权保护、金融服务支持等方面发挥专业优势，促进产业集群集聚和企业健康发展。</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律师工作处</w:t>
            </w:r>
          </w:p>
        </w:tc>
      </w:tr>
      <w:tr>
        <w:trPr>
          <w:trHeight w:val="3276"/>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z w:val="24"/>
              </w:rPr>
              <w:t>10</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持续开展“减证便民”行动</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left"/>
              <w:rPr>
                <w:rFonts w:ascii="Times New Roman" w:eastAsia="仿宋_GB2312" w:cs="Times New Roman" w:hAnsi="Times New Roman"/>
                <w:bCs/>
                <w:sz w:val="24"/>
              </w:rPr>
            </w:pPr>
            <w:r>
              <w:rPr>
                <w:rFonts w:ascii="Times New Roman" w:eastAsia="仿宋_GB2312" w:cs="Times New Roman" w:hAnsi="Times New Roman"/>
                <w:bCs/>
                <w:sz w:val="24"/>
              </w:rPr>
              <w:t>以简便告知承诺替代繁杂证明材料，增强市场主体和人民群众获得感。推出行政许可事项办理指引等措施，实现行政许可减环节、减材料、减时限的便捷高效办理目标。</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1.在第一批和第二批告知承诺证明事项清单的基础上，根据法律法规变动及政务服务事项新增、变更、撤销等情况，梳理并扩大实行告知承诺证明事项清单范围，推动发布最新版实行告知承诺制的证明事项清单。明确告知承诺事项范围，规范办事流程，加强互联互通，并强化事中时候监管。2.编印核收材料清单及申报材料清单、示范样本等，并根据省司法厅的最新要求和窗口办理实际进行动态调整。通过微信群、QQ群等在线平台，上传并动态调整各许可事项申报材料清单及制式文本，同时在线进行即时材料预审，即时为各县区局、各单位办事人员解答疑难问题。</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eastAsia="仿宋_GB2312" w:cs="Times New Roman" w:hAnsi="Times New Roman"/>
                <w:bCs/>
                <w:spacing w:val="-20"/>
                <w:sz w:val="24"/>
              </w:rPr>
            </w:pPr>
            <w:r>
              <w:rPr>
                <w:rFonts w:ascii="Times New Roman" w:eastAsia="仿宋_GB2312" w:cs="Times New Roman" w:hAnsi="Times New Roman"/>
                <w:bCs/>
                <w:spacing w:val="-17"/>
                <w:sz w:val="24"/>
              </w:rPr>
              <w:t>行政执法协调监督处</w:t>
            </w:r>
            <w:r>
              <w:rPr>
                <w:rFonts w:ascii="Times New Roman" w:eastAsia="仿宋_GB2312" w:cs="Times New Roman" w:hAnsi="Times New Roman"/>
                <w:bCs/>
                <w:spacing w:val="-20"/>
                <w:sz w:val="24"/>
              </w:rPr>
              <w:t>行政审批处</w:t>
            </w:r>
          </w:p>
        </w:tc>
      </w:tr>
      <w:tr>
        <w:trPr>
          <w:trHeight w:val="2507"/>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11</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bCs/>
                <w:sz w:val="24"/>
              </w:rPr>
              <w:t>打造行政复议“零跑腿”数字化便民工程</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围绕行政复议便民惠民利民原则，采取数字化、信息化形式开展行政复议工作。</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1. 将在连云港市人民政府、连云港司法行政门户网站、我的连云港app、连云港司法行政公众号等大众媒体开通行政复议在线申请，实现行政复议“开门办”、足不出户“网上办”。2. 在全市司法所窗口开设行政复议便民服务点，打通行政复议最后一公里。通过构建网上申请、远程听证、网上查阅办理进度等行政复议工作新机制，让老百姓足不出户便能享受到行政复议带给百姓的法治保障福利，充分发挥行政复议成为化解行政争议的主渠道作用。</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行政复议处</w:t>
            </w:r>
          </w:p>
        </w:tc>
      </w:tr>
      <w:tr>
        <w:trPr>
          <w:trHeight w:val="2162"/>
        </w:trPr>
        <w:tc>
          <w:tcPr>
            <w:tcW w:w="58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rPr>
            </w:pPr>
            <w:r>
              <w:rPr>
                <w:rFonts w:ascii="Times New Roman" w:eastAsia="仿宋_GB2312" w:cs="Times New Roman" w:hAnsi="Times New Roman"/>
                <w:sz w:val="24"/>
              </w:rPr>
              <w:t>12</w:t>
            </w:r>
          </w:p>
        </w:tc>
        <w:tc>
          <w:tcPr>
            <w:tcW w:w="1635"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sz w:val="24"/>
                <w:lang w:val="en-US" w:eastAsia="zh-CN"/>
              </w:rPr>
            </w:pPr>
            <w:r>
              <w:rPr>
                <w:rFonts w:ascii="Times New Roman" w:eastAsia="仿宋_GB2312" w:cs="Times New Roman" w:hAnsi="Times New Roman"/>
                <w:spacing w:val="-23"/>
                <w:sz w:val="24"/>
              </w:rPr>
              <w:t>提升化解商事纠纷仲裁首选</w:t>
            </w:r>
            <w:r>
              <w:rPr>
                <w:rFonts w:ascii="Times New Roman" w:eastAsia="仿宋_GB2312" w:cs="Times New Roman" w:hAnsi="Times New Roman"/>
                <w:spacing w:val="-23"/>
                <w:sz w:val="24"/>
                <w:lang w:val="en-US" w:eastAsia="zh-CN"/>
              </w:rPr>
              <w:t>率</w:t>
            </w:r>
          </w:p>
        </w:tc>
        <w:tc>
          <w:tcPr>
            <w:tcW w:w="3660"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创新仲裁服务新模式，拓宽服务领域，提高仲裁的社会认知度和社会公信力，提升仲裁在化解民商事纠纷中的首选率。</w:t>
            </w:r>
          </w:p>
        </w:tc>
        <w:tc>
          <w:tcPr>
            <w:tcW w:w="6044"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rPr>
                <w:rFonts w:ascii="Times New Roman" w:eastAsia="仿宋_GB2312" w:cs="Times New Roman" w:hAnsi="Times New Roman"/>
                <w:bCs/>
                <w:sz w:val="24"/>
              </w:rPr>
            </w:pPr>
            <w:r>
              <w:rPr>
                <w:rFonts w:ascii="Times New Roman" w:eastAsia="仿宋_GB2312" w:cs="Times New Roman" w:hAnsi="Times New Roman"/>
                <w:bCs/>
                <w:sz w:val="24"/>
              </w:rPr>
              <w:t>1.加强知识产权仲裁机构和纠纷调解机构建设，在各县区设立知识产权仲裁调解中心，为企业提供就地便捷服务。2.在商会、协会、企业等设立仲裁联络点，依托实体、网络、热线，建立涉企商事纠纷受理平台，在金融、保险等新经济新业务中推广运用仲裁方式。3.开设中小微企业仲裁专项服务，专人跟进，专班处理，建立快立快审快裁机制，最大限度保持企业生产活力。</w:t>
            </w:r>
          </w:p>
        </w:tc>
        <w:tc>
          <w:tcPr>
            <w:tcW w:w="2128" w:type="dxa"/>
            <w:tcBorders>
              <w:top w:val="single" w:sz="4" w:space="0" w:color="auto"/>
              <w:left w:val="single" w:sz="4" w:space="0" w:color="auto"/>
              <w:bottom w:val="single" w:sz="4" w:space="0" w:color="auto"/>
              <w:right w:val="single" w:sz="4" w:space="0" w:color="auto"/>
              <w:tl2br w:val="nil"/>
              <w:tr2bl w:val="nil"/>
            </w:tcBorders>
            <w:vAlign w:val="center"/>
          </w:tcPr>
          <w:p>
            <w:pPr>
              <w:spacing w:line="280" w:lineRule="exact"/>
              <w:jc w:val="center"/>
              <w:rPr>
                <w:rFonts w:ascii="Times New Roman" w:eastAsia="仿宋_GB2312" w:cs="Times New Roman" w:hAnsi="Times New Roman"/>
                <w:bCs/>
                <w:sz w:val="24"/>
              </w:rPr>
            </w:pPr>
            <w:r>
              <w:rPr>
                <w:rFonts w:ascii="Times New Roman" w:eastAsia="仿宋_GB2312" w:cs="Times New Roman" w:hAnsi="Times New Roman"/>
                <w:bCs/>
                <w:sz w:val="24"/>
              </w:rPr>
              <w:t>仲裁委秘书处</w:t>
            </w:r>
          </w:p>
        </w:tc>
      </w:tr>
    </w:tbl>
    <w:p>
      <w:pPr>
        <w:pStyle w:val="134"/>
        <w:ind w:left="0" w:firstLineChars="0" w:firstLine="0"/>
        <w:rPr>
          <w:lang w:val="en-US" w:eastAsia="zh-CN"/>
        </w:rPr>
        <w:sectPr>
          <w:headerReference w:type="default" r:id="rId2"/>
          <w:footerReference w:type="default" r:id="rId3"/>
          <w:pgSz w:w="16783" w:h="11850" w:orient="landscape"/>
          <w:pgMar w:top="1633" w:right="1984" w:bottom="1633" w:left="1587" w:header="850" w:footer="964" w:gutter="0"/>
          <w:pgNumType/>
          <w:docGrid w:type="lines" w:linePitch="330" w:charSpace="0"/>
        </w:sectPr>
      </w:pPr>
    </w:p>
    <w:p>
      <w:pPr>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Style w:val="29"/>
        <w:rPr>
          <w:lang w:val="en-US" w:eastAsia="zh-CN"/>
        </w:rPr>
      </w:pPr>
    </w:p>
    <w:p>
      <w:pPr>
        <w:pStyle w:val="16"/>
        <w:rPr>
          <w:lang w:val="en-US" w:eastAsia="zh-CN"/>
        </w:rPr>
      </w:pPr>
    </w:p>
    <w:p>
      <w:pPr>
        <w:rPr>
          <w:lang w:val="en-US" w:eastAsia="zh-CN"/>
        </w:rPr>
      </w:pPr>
    </w:p>
    <w:p>
      <w:pPr>
        <w:pBdr>
          <w:bottom w:val="single" w:sz="4" w:space="1" w:color="auto"/>
          <w:between w:val="single" w:sz="4" w:space="1" w:color="auto"/>
        </w:pBdr>
        <w:spacing w:line="600" w:lineRule="exact"/>
        <w:rPr>
          <w:rFonts w:ascii="Times New Roman" w:cs="Times New Roman" w:hAnsi="Times New Roman"/>
          <w:sz w:val="32"/>
          <w:szCs w:val="32"/>
        </w:rPr>
      </w:pPr>
    </w:p>
    <w:p>
      <w:pPr>
        <w:pBdr>
          <w:bottom w:val="single" w:sz="4" w:space="1" w:color="auto"/>
          <w:between w:val="single" w:sz="4" w:space="1" w:color="auto"/>
        </w:pBdr>
        <w:spacing w:line="560" w:lineRule="exact"/>
        <w:ind w:left="960" w:hangingChars="300" w:hanging="960"/>
        <w:rPr>
          <w:rFonts w:ascii="Times New Roman" w:cs="Times New Roman" w:hAnsi="Times New Roman"/>
        </w:rPr>
      </w:pPr>
      <w:r>
        <w:rPr>
          <w:rFonts w:ascii="Times New Roman" w:eastAsia="仿宋_GB2312" w:cs="Times New Roman" w:hAnsi="Times New Roman"/>
          <w:sz w:val="32"/>
          <w:szCs w:val="32"/>
        </w:rPr>
        <w:t xml:space="preserve"> </w:t>
      </w:r>
      <w:r>
        <w:rPr>
          <w:rFonts w:ascii="Times New Roman" w:eastAsia="仿宋_GB2312" w:cs="Times New Roman" w:hAnsi="Times New Roman"/>
          <w:sz w:val="28"/>
          <w:szCs w:val="28"/>
        </w:rPr>
        <w:t>连云港市司法局办公室                    2023年</w:t>
      </w:r>
      <w:r>
        <w:rPr>
          <w:rFonts w:ascii="Times New Roman" w:eastAsia="仿宋_GB2312" w:cs="Times New Roman" w:hAnsi="Times New Roman" w:hint="eastAsia"/>
          <w:sz w:val="28"/>
          <w:szCs w:val="28"/>
          <w:lang w:val="en-US" w:eastAsia="zh-CN"/>
        </w:rPr>
        <w:t>4</w:t>
      </w:r>
      <w:r>
        <w:rPr>
          <w:rFonts w:ascii="Times New Roman" w:eastAsia="仿宋_GB2312" w:cs="Times New Roman" w:hAnsi="Times New Roman"/>
          <w:sz w:val="28"/>
          <w:szCs w:val="28"/>
        </w:rPr>
        <w:t>月</w:t>
      </w:r>
      <w:r>
        <w:rPr>
          <w:rFonts w:ascii="Times New Roman" w:eastAsia="仿宋_GB2312" w:cs="Times New Roman" w:hAnsi="Times New Roman" w:hint="eastAsia"/>
          <w:sz w:val="28"/>
          <w:szCs w:val="28"/>
          <w:lang w:val="en-US" w:eastAsia="zh-CN"/>
        </w:rPr>
        <w:t>17</w:t>
      </w:r>
      <w:r>
        <w:rPr>
          <w:rFonts w:ascii="Times New Roman" w:eastAsia="仿宋_GB2312" w:cs="Times New Roman" w:hAnsi="Times New Roman"/>
          <w:sz w:val="28"/>
          <w:szCs w:val="28"/>
        </w:rPr>
        <w:t>日印发</w:t>
      </w:r>
    </w:p>
    <w:p>
      <w:pPr>
        <w:rPr>
          <w:lang w:val="en-US" w:eastAsia="zh-CN"/>
        </w:rPr>
      </w:pPr>
    </w:p>
    <w:p/>
    <w:sectPr>
      <w:pgSz w:w="11850" w:h="16783"/>
      <w:pgMar w:top="1984" w:right="1633" w:bottom="1587" w:left="1633" w:header="850" w:footer="964" w:gutter="0"/>
      <w:pgNumType/>
      <w:docGrid w:type="lines" w:linePitch="33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黑体">
    <w:panose1 w:val="02010600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auto"/>
    <w:pitch w:val="variable"/>
    <w:sig w:usb0="E10002FF" w:usb1="4000ACFF" w:usb2="00000009" w:usb3="00000000" w:csb0="2000019F" w:csb1="00000000"/>
  </w:font>
  <w:font w:name="方正仿宋简体">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lear" w:pos="4153"/>
        <w:tab w:val="clear" w:pos="8306"/>
        <w:tab w:val="center" w:pos="4153"/>
        <w:tab w:val="right" w:pos="8306"/>
      </w:tabs>
      <w:rPr>
        <w:rStyle w:val="42"/>
        <w:rFonts w:hint="eastAsia"/>
        <w:sz w:val="28"/>
        <w:szCs w:val="28"/>
      </w:rPr>
    </w:pPr>
    <w:r>
      <w:rPr>
        <w:sz w:val="28"/>
      </w:rP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889000" cy="383736"/>
              <wp:effectExtent l="0" t="0" r="0" b="0"/>
              <wp:wrapNone/>
              <wp:docPr id="1" name="文本框 12"/>
              <wp:cNvGraphicFramePr>
                <a:graphicFrameLocks noChangeAspect="0"/>
              </wp:cNvGraphicFramePr>
              <a:graphic>
                <a:graphicData uri="http://schemas.microsoft.com/office/word/2010/wordprocessingShape">
                  <wps:wsp>
                    <wps:cNvSpPr/>
                    <wps:spPr>
                      <a:xfrm rot="0">
                        <a:off x="0" y="0"/>
                        <a:ext cx="889000" cy="383736"/>
                      </a:xfrm>
                      <a:prstGeom prst="rect"/>
                      <a:noFill/>
                      <a:ln w="9525" cmpd="sng" cap="flat">
                        <a:noFill/>
                        <a:prstDash val="solid"/>
                        <a:miter/>
                      </a:ln>
                    </wps:spPr>
                    <wps:txbx id="2">
                      <w:txbxContent>
                        <w:p>
                          <w:pPr>
                            <w:pStyle w:val="33"/>
                            <w:keepNext w:val="0"/>
                            <w:keepLines w:val="0"/>
                            <w:pageBreakBefore w:val="0"/>
                            <w:widowControl w:val="0"/>
                            <w:tabs>
                              <w:tab w:val="clear" w:pos="4153"/>
                              <w:tab w:val="clear" w:pos="8306"/>
                              <w:tab w:val="center" w:pos="4153"/>
                              <w:tab w:val="right" w:pos="8306"/>
                            </w:tabs>
                            <w:kinsoku/>
                            <w:wordWrap/>
                            <w:overflowPunct/>
                            <w:topLinePunct w:val="0"/>
                            <w:autoSpaceDE/>
                            <w:autoSpaceDN/>
                            <w:bidi w:val="0"/>
                            <w:adjustRightInd/>
                            <w:snapToGrid w:val="0"/>
                            <w:ind w:leftChars="100" w:left="210" w:rightChars="100" w:right="210"/>
                            <w:textAlignment w:val="auto"/>
                          </w:pPr>
                          <w:r>
                            <w:rPr>
                              <w:rStyle w:val="42"/>
                              <w:rFonts w:hint="eastAsia"/>
                              <w:sz w:val="28"/>
                              <w:szCs w:val="28"/>
                            </w:rPr>
                            <w:t xml:space="preserve">— </w:t>
                          </w:r>
                          <w:r>
                            <w:rPr>
                              <w:rFonts w:ascii="Times New Roman" w:cs="Times New Roman" w:hAnsi="Times New Roman"/>
                              <w:sz w:val="28"/>
                              <w:szCs w:val="28"/>
                            </w:rPr>
                            <w:fldChar w:fldCharType="begin"/>
                          </w:r>
                          <w:r>
                            <w:rPr>
                              <w:rStyle w:val="42"/>
                              <w:rFonts w:ascii="Times New Roman" w:cs="Times New Roman" w:hAnsi="Times New Roman"/>
                              <w:sz w:val="28"/>
                              <w:szCs w:val="28"/>
                            </w:rPr>
                            <w:instrText xml:space="preserve">PAGE  </w:instrText>
                          </w:r>
                          <w:r>
                            <w:rPr>
                              <w:rFonts w:ascii="Times New Roman" w:cs="Times New Roman" w:hAnsi="Times New Roman"/>
                              <w:sz w:val="28"/>
                              <w:szCs w:val="28"/>
                            </w:rPr>
                            <w:fldChar w:fldCharType="separate"/>
                          </w:r>
                          <w:r>
                            <w:rPr>
                              <w:rStyle w:val="42"/>
                              <w:rFonts w:ascii="Times New Roman" w:cs="Times New Roman" w:hAnsi="Times New Roman"/>
                              <w:sz w:val="28"/>
                              <w:szCs w:val="28"/>
                            </w:rPr>
                            <w:t>4</w:t>
                          </w:r>
                          <w:r>
                            <w:rPr>
                              <w:rFonts w:ascii="Times New Roman" w:cs="Times New Roman" w:hAnsi="Times New Roman"/>
                              <w:sz w:val="28"/>
                              <w:szCs w:val="28"/>
                            </w:rPr>
                            <w:fldChar w:fldCharType="end"/>
                          </w:r>
                          <w:r>
                            <w:rPr>
                              <w:rStyle w:val="42"/>
                              <w:rFonts w:hint="eastAsia"/>
                              <w:sz w:val="28"/>
                              <w:szCs w:val="28"/>
                            </w:rPr>
                            <w:t xml:space="preserve"> —</w:t>
                          </w:r>
                        </w:p>
                        <w:p/>
                      </w:txbxContent>
                    </wps:txbx>
                    <wps:bodyPr vert="horz" wrap="none" lIns="0" tIns="0" rIns="0" bIns="0" anchor="t" anchorCtr="0" upright="1">
                      <a:spAutoFit/>
                    </wps:bodyPr>
                  </wps:wsp>
                </a:graphicData>
              </a:graphic>
            </wp:anchor>
          </w:drawing>
        </mc:Choice>
        <mc:Fallback>
          <w:pict>
            <v:shape type="#_x0000_t202" id="文本框 12" o:spid="_x0000_s3" filled="f" stroked="f" style="position:absolute;margin-left:0.0pt;margin-top:0.0pt;width:70.00001pt;height:30.215502pt;z-index:12;mso-position-horizontal:outside;mso-position-horizontal-relative:margin;mso-position-vertical:absolute;mso-wrap-style:none;">
              <v:stroke color="#000000"/>
              <v:textbox id="848" inset="0mm,0mm,0mm,0mm" o:insetmode="custom" style="layout-flow:horizontal;v-text-anchor:top;mso-fit-shape-to-text:t;">
                <w:txbxContent>
                  <w:p>
                    <w:pPr>
                      <w:pStyle w:val="33"/>
                      <w:keepNext w:val="0"/>
                      <w:keepLines w:val="0"/>
                      <w:pageBreakBefore w:val="0"/>
                      <w:widowControl w:val="0"/>
                      <w:tabs>
                        <w:tab w:val="clear" w:pos="4153"/>
                        <w:tab w:val="clear" w:pos="8306"/>
                        <w:tab w:val="center" w:pos="4153"/>
                        <w:tab w:val="right" w:pos="8306"/>
                      </w:tabs>
                      <w:kinsoku/>
                      <w:wordWrap/>
                      <w:overflowPunct/>
                      <w:topLinePunct w:val="0"/>
                      <w:autoSpaceDE/>
                      <w:autoSpaceDN/>
                      <w:bidi w:val="0"/>
                      <w:adjustRightInd/>
                      <w:snapToGrid w:val="0"/>
                      <w:ind w:leftChars="100" w:left="210" w:rightChars="100" w:right="210"/>
                      <w:textAlignment w:val="auto"/>
                    </w:pPr>
                    <w:r>
                      <w:rPr>
                        <w:rStyle w:val="42"/>
                        <w:rFonts w:hint="eastAsia"/>
                        <w:sz w:val="28"/>
                        <w:szCs w:val="28"/>
                      </w:rPr>
                      <w:t xml:space="preserve">— </w:t>
                    </w:r>
                    <w:r>
                      <w:rPr>
                        <w:rFonts w:ascii="Times New Roman" w:cs="Times New Roman" w:hAnsi="Times New Roman"/>
                        <w:sz w:val="28"/>
                        <w:szCs w:val="28"/>
                      </w:rPr>
                      <w:fldChar w:fldCharType="begin"/>
                    </w:r>
                    <w:r>
                      <w:rPr>
                        <w:rStyle w:val="42"/>
                        <w:rFonts w:ascii="Times New Roman" w:cs="Times New Roman" w:hAnsi="Times New Roman"/>
                        <w:sz w:val="28"/>
                        <w:szCs w:val="28"/>
                      </w:rPr>
                      <w:instrText xml:space="preserve">PAGE  </w:instrText>
                    </w:r>
                    <w:r>
                      <w:rPr>
                        <w:rFonts w:ascii="Times New Roman" w:cs="Times New Roman" w:hAnsi="Times New Roman"/>
                        <w:sz w:val="28"/>
                        <w:szCs w:val="28"/>
                      </w:rPr>
                      <w:fldChar w:fldCharType="separate"/>
                    </w:r>
                    <w:r>
                      <w:rPr>
                        <w:rStyle w:val="42"/>
                        <w:rFonts w:ascii="Times New Roman" w:cs="Times New Roman" w:hAnsi="Times New Roman"/>
                        <w:sz w:val="28"/>
                        <w:szCs w:val="28"/>
                      </w:rPr>
                      <w:t>4</w:t>
                    </w:r>
                    <w:r>
                      <w:rPr>
                        <w:rFonts w:ascii="Times New Roman" w:cs="Times New Roman" w:hAnsi="Times New Roman"/>
                        <w:sz w:val="28"/>
                        <w:szCs w:val="28"/>
                      </w:rPr>
                      <w:fldChar w:fldCharType="end"/>
                    </w:r>
                    <w:r>
                      <w:rPr>
                        <w:rStyle w:val="42"/>
                        <w:rFonts w:hint="eastAsia"/>
                        <w:sz w:val="28"/>
                        <w:szCs w:val="28"/>
                      </w:rPr>
                      <w:t xml:space="preserve"> —</w:t>
                    </w:r>
                  </w:p>
                  <w:p/>
                </w:txbxContent>
              </v:textbox>
            </v:shape>
          </w:pict>
        </mc:Fallback>
      </mc:AlternateContent>
    </w:r>
  </w:p>
  <w:p>
    <w:pPr>
      <w:pStyle w:val="33"/>
      <w:tabs>
        <w:tab w:val="clear" w:pos="4153"/>
        <w:tab w:val="clear" w:pos="8306"/>
        <w:tab w:val="center" w:pos="4153"/>
        <w:tab w:val="right" w:pos="8306"/>
      </w:tabs>
      <w:rPr>
        <w:lang w:val="en-US"/>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pBdr>
        <w:bottom w:val="none" w:sz="0" w:space="0" w:color="auto"/>
      </w:pBdr>
      <w:tabs>
        <w:tab w:val="clear" w:pos="4153"/>
        <w:tab w:val="clear" w:pos="8306"/>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6">
    <w:name w:val="index 6"/>
    <w:basedOn w:val="0"/>
    <w:autoRedefine/>
    <w:next w:val="0"/>
    <w:pPr>
      <w:widowControl w:val="0"/>
      <w:ind w:left="2100"/>
      <w:jc w:val="both"/>
    </w:pPr>
    <w:rPr>
      <w:rFonts w:ascii="Times New Roman" w:eastAsia="宋体" w:cs="Times New Roman" w:hAnsi="Times New Roman"/>
      <w:kern w:val="2"/>
      <w:sz w:val="21"/>
      <w:szCs w:val="24"/>
      <w:lang w:val="en-US" w:eastAsia="zh-CN" w:bidi="ar-SA"/>
    </w:rPr>
  </w:style>
  <w:style w:type="paragraph" w:styleId="29">
    <w:name w:val="Normal Indent"/>
    <w:basedOn w:val="0"/>
    <w:next w:val="16"/>
    <w:pPr>
      <w:widowControl w:val="0"/>
      <w:ind w:firstLineChars="200" w:firstLine="200"/>
      <w:jc w:val="both"/>
    </w:pPr>
    <w:rPr>
      <w:rFonts w:ascii="Times New Roman" w:eastAsia="宋体" w:cs="Times New Roman" w:hAnsi="Times New Roman"/>
      <w:kern w:val="2"/>
      <w:sz w:val="21"/>
      <w:szCs w:val="24"/>
      <w:lang w:val="en-US" w:eastAsia="zh-CN" w:bidi="ar-SA"/>
    </w:rPr>
  </w:style>
  <w:style w:type="paragraph" w:styleId="32">
    <w:name w:val="header"/>
    <w:basedOn w:val="0"/>
    <w:next w:val="30"/>
    <w:pPr>
      <w:widowControl w:val="0"/>
      <w:pBdr>
        <w:bottom w:val="single" w:sz="6" w:space="1" w:color="auto"/>
      </w:pBdr>
      <w:tabs>
        <w:tab w:val="center" w:pos="4153"/>
        <w:tab w:val="right" w:pos="8306"/>
      </w:tabs>
      <w:snapToGrid w:val="0"/>
      <w:jc w:val="center"/>
    </w:pPr>
    <w:rPr>
      <w:rFonts w:ascii="Times New Roman" w:eastAsia="宋体" w:cs="Times New Roman" w:hAnsi="Times New Roman"/>
      <w:kern w:val="2"/>
      <w:sz w:val="18"/>
      <w:szCs w:val="18"/>
      <w:lang w:val="en-US" w:eastAsia="zh-CN" w:bidi="ar-SA"/>
    </w:rPr>
  </w:style>
  <w:style w:type="paragraph" w:styleId="33">
    <w:name w:val="footer"/>
    <w:basedOn w:val="0"/>
    <w:next w:val="28"/>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character" w:styleId="42">
    <w:name w:val="page number"/>
  </w:style>
  <w:style w:type="paragraph" w:customStyle="1" w:styleId="133">
    <w:name w:val="样式1"/>
    <w:basedOn w:val="0"/>
    <w:pPr>
      <w:widowControl w:val="0"/>
      <w:jc w:val="both"/>
    </w:pPr>
    <w:rPr>
      <w:rFonts w:ascii="Times New Roman" w:eastAsia="宋体" w:cs="Times New Roman" w:hAnsi="Times New Roman"/>
      <w:b/>
      <w:color w:val="538135"/>
      <w:kern w:val="2"/>
      <w:sz w:val="28"/>
      <w:szCs w:val="24"/>
      <w:lang w:val="en-US" w:eastAsia="zh-CN" w:bidi="ar-SA"/>
    </w:rPr>
  </w:style>
  <w:style w:type="paragraph" w:customStyle="1" w:styleId="134">
    <w:name w:val="常用样式（方正仿宋简）"/>
    <w:basedOn w:val="0"/>
    <w:pPr>
      <w:widowControl w:val="0"/>
      <w:spacing w:line="560" w:lineRule="exact"/>
      <w:ind w:firstLineChars="200" w:firstLine="200"/>
      <w:jc w:val="both"/>
    </w:pPr>
    <w:rPr>
      <w:rFonts w:ascii="Calibri" w:eastAsia="方正仿宋简体" w:cs="Times New Roman" w:hAnsi="Calibri"/>
      <w:kern w:val="2"/>
      <w:sz w:val="32"/>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sectPr/>
    <sectPr/>
  </customProps>
</customData>
</file>

<file path=customXml/itemProps1.xml><?xml version="1.0" encoding="utf-8"?>
<ds:datastoreItem xmlns:ds="http://schemas.openxmlformats.org/officeDocument/2006/customXml" ds:itemID="{A96AEBEC-2F52-4F90-9623-27C2F2687F2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Pages>
  <Words>19</Words>
  <Characters>22</Characters>
  <Lines>1</Lines>
  <Paragraphs>1</Paragraphs>
  <CharactersWithSpaces>22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1</cp:revision>
  <dcterms:created xsi:type="dcterms:W3CDTF">2023-04-19T07:54:13Z</dcterms:created>
  <dcterms:modified xsi:type="dcterms:W3CDTF">2023-04-19T07:54:27Z</dcterms:modified>
</cp:coreProperties>
</file>